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96" w:lineRule="auto"/>
        <w:rPr>
          <w:rFonts w:eastAsia="Times New Roman"/>
          <w:color w:val="auto"/>
        </w:rPr>
      </w:pPr>
    </w:p>
    <w:p>
      <w:pPr>
        <w:spacing w:line="296" w:lineRule="auto"/>
        <w:rPr>
          <w:rFonts w:eastAsia="Times New Roman"/>
          <w:color w:val="auto"/>
        </w:rPr>
      </w:pPr>
    </w:p>
    <w:p>
      <w:pPr>
        <w:spacing w:before="98" w:line="224" w:lineRule="auto"/>
        <w:ind w:left="119"/>
        <w:rPr>
          <w:rFonts w:ascii="仿宋_GB2312" w:hAnsi="仿宋_GB2312" w:eastAsia="仿宋_GB2312" w:cs="仿宋_GB2312"/>
          <w:color w:val="auto"/>
          <w:sz w:val="32"/>
          <w:szCs w:val="32"/>
        </w:rPr>
      </w:pPr>
      <w:r>
        <w:rPr>
          <w:rFonts w:hint="eastAsia" w:ascii="仿宋_GB2312" w:hAnsi="仿宋_GB2312" w:eastAsia="仿宋_GB2312" w:cs="仿宋_GB2312"/>
          <w:color w:val="auto"/>
          <w:spacing w:val="-16"/>
          <w:sz w:val="32"/>
          <w:szCs w:val="32"/>
        </w:rPr>
        <w:t>附件</w:t>
      </w:r>
      <w:r>
        <w:rPr>
          <w:rFonts w:ascii="仿宋_GB2312" w:hAnsi="仿宋_GB2312" w:eastAsia="仿宋_GB2312" w:cs="仿宋_GB2312"/>
          <w:color w:val="auto"/>
          <w:spacing w:val="-16"/>
          <w:sz w:val="32"/>
          <w:szCs w:val="32"/>
        </w:rPr>
        <w:t>1</w:t>
      </w:r>
    </w:p>
    <w:p>
      <w:pPr>
        <w:spacing w:before="308" w:line="221" w:lineRule="auto"/>
        <w:jc w:val="center"/>
        <w:rPr>
          <w:rFonts w:ascii="仿宋_GB2312" w:hAnsi="仿宋_GB2312" w:eastAsia="仿宋_GB2312" w:cs="仿宋_GB2312"/>
          <w:b/>
          <w:bCs/>
          <w:color w:val="auto"/>
          <w:spacing w:val="-7"/>
          <w:sz w:val="72"/>
          <w:szCs w:val="72"/>
        </w:rPr>
      </w:pPr>
      <w:r>
        <w:rPr>
          <w:rFonts w:hint="eastAsia" w:ascii="仿宋_GB2312" w:hAnsi="仿宋_GB2312" w:eastAsia="仿宋_GB2312" w:cs="仿宋_GB2312"/>
          <w:b/>
          <w:bCs/>
          <w:color w:val="auto"/>
          <w:spacing w:val="-7"/>
          <w:sz w:val="72"/>
          <w:szCs w:val="72"/>
        </w:rPr>
        <w:t>轻微违法行为免予行政处罚清单</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2145"/>
        <w:gridCol w:w="3958"/>
        <w:gridCol w:w="4738"/>
        <w:gridCol w:w="14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5000" w:type="pct"/>
            <w:gridSpan w:val="5"/>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color w:val="auto"/>
                <w:sz w:val="40"/>
                <w:szCs w:val="40"/>
              </w:rPr>
              <w:t>医疗保障局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32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p>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w:t>
            </w:r>
          </w:p>
        </w:tc>
        <w:tc>
          <w:tcPr>
            <w:tcW w:w="814" w:type="pct"/>
            <w:vAlign w:val="center"/>
          </w:tcPr>
          <w:p>
            <w:pPr>
              <w:spacing w:line="240" w:lineRule="auto"/>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2"/>
                <w:sz w:val="24"/>
                <w:szCs w:val="24"/>
              </w:rPr>
              <w:t>用人单位不办理</w:t>
            </w:r>
            <w:r>
              <w:rPr>
                <w:rFonts w:hint="eastAsia" w:ascii="仿宋_GB2312" w:hAnsi="仿宋_GB2312" w:eastAsia="仿宋_GB2312" w:cs="仿宋_GB2312"/>
                <w:color w:val="auto"/>
                <w:spacing w:val="14"/>
                <w:sz w:val="24"/>
                <w:szCs w:val="24"/>
              </w:rPr>
              <w:t>医疗保险登记；</w:t>
            </w:r>
            <w:r>
              <w:rPr>
                <w:rFonts w:hint="eastAsia" w:ascii="仿宋_GB2312" w:hAnsi="仿宋_GB2312" w:eastAsia="仿宋_GB2312" w:cs="仿宋_GB2312"/>
                <w:color w:val="auto"/>
                <w:spacing w:val="1"/>
                <w:sz w:val="24"/>
                <w:szCs w:val="24"/>
              </w:rPr>
              <w:t>未按时足额缴纳</w:t>
            </w:r>
            <w:r>
              <w:rPr>
                <w:rFonts w:hint="eastAsia" w:ascii="仿宋_GB2312" w:hAnsi="仿宋_GB2312" w:eastAsia="仿宋_GB2312" w:cs="仿宋_GB2312"/>
                <w:color w:val="auto"/>
                <w:spacing w:val="2"/>
                <w:sz w:val="24"/>
                <w:szCs w:val="24"/>
              </w:rPr>
              <w:t>医疗保险费</w:t>
            </w:r>
          </w:p>
        </w:tc>
        <w:tc>
          <w:tcPr>
            <w:tcW w:w="1502" w:type="pct"/>
            <w:vAlign w:val="center"/>
          </w:tcPr>
          <w:p>
            <w:pPr>
              <w:spacing w:line="240" w:lineRule="auto"/>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3"/>
                <w:sz w:val="24"/>
                <w:szCs w:val="24"/>
              </w:rPr>
              <w:t>(一)自行纠正或者在限期内缴纳；</w:t>
            </w:r>
            <w:r>
              <w:rPr>
                <w:rFonts w:hint="eastAsia" w:ascii="仿宋_GB2312" w:hAnsi="仿宋_GB2312" w:eastAsia="仿宋_GB2312" w:cs="仿宋_GB2312"/>
                <w:color w:val="auto"/>
                <w:spacing w:val="12"/>
                <w:sz w:val="24"/>
                <w:szCs w:val="24"/>
              </w:rPr>
              <w:t>(二)初次违法且危害后果轻微并及时</w:t>
            </w:r>
            <w:r>
              <w:rPr>
                <w:rFonts w:hint="eastAsia" w:ascii="仿宋_GB2312" w:hAnsi="仿宋_GB2312" w:eastAsia="仿宋_GB2312" w:cs="仿宋_GB2312"/>
                <w:color w:val="auto"/>
                <w:spacing w:val="23"/>
                <w:sz w:val="24"/>
                <w:szCs w:val="24"/>
              </w:rPr>
              <w:t>改正的；</w:t>
            </w:r>
            <w:r>
              <w:rPr>
                <w:rFonts w:hint="eastAsia" w:ascii="仿宋_GB2312" w:hAnsi="仿宋_GB2312" w:eastAsia="仿宋_GB2312" w:cs="仿宋_GB2312"/>
                <w:color w:val="auto"/>
                <w:spacing w:val="12"/>
                <w:sz w:val="24"/>
                <w:szCs w:val="24"/>
              </w:rPr>
              <w:t>(三)当事人有证据足以证明没有主观</w:t>
            </w:r>
            <w:r>
              <w:rPr>
                <w:rFonts w:hint="eastAsia" w:ascii="仿宋_GB2312" w:hAnsi="仿宋_GB2312" w:eastAsia="仿宋_GB2312" w:cs="仿宋_GB2312"/>
                <w:color w:val="auto"/>
                <w:spacing w:val="25"/>
                <w:sz w:val="24"/>
                <w:szCs w:val="24"/>
              </w:rPr>
              <w:t>过错的。</w:t>
            </w:r>
          </w:p>
        </w:tc>
        <w:tc>
          <w:tcPr>
            <w:tcW w:w="1798" w:type="pct"/>
            <w:vAlign w:val="center"/>
          </w:tcPr>
          <w:p>
            <w:pPr>
              <w:spacing w:line="240" w:lineRule="auto"/>
              <w:ind w:left="105" w:right="40" w:hanging="1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pacing w:val="4"/>
                <w:sz w:val="24"/>
                <w:szCs w:val="24"/>
              </w:rPr>
              <w:t>【法律】</w:t>
            </w:r>
            <w:r>
              <w:rPr>
                <w:rFonts w:hint="eastAsia" w:ascii="仿宋_GB2312" w:hAnsi="仿宋_GB2312" w:eastAsia="仿宋_GB2312" w:cs="仿宋_GB2312"/>
                <w:color w:val="auto"/>
                <w:spacing w:val="4"/>
                <w:sz w:val="24"/>
                <w:szCs w:val="24"/>
              </w:rPr>
              <w:t>《中华人民共和国社会保险法》第五十八条：</w:t>
            </w:r>
            <w:r>
              <w:rPr>
                <w:rFonts w:hint="eastAsia" w:ascii="仿宋_GB2312" w:hAnsi="仿宋_GB2312" w:eastAsia="仿宋_GB2312" w:cs="仿宋_GB2312"/>
                <w:color w:val="auto"/>
                <w:spacing w:val="3"/>
                <w:sz w:val="24"/>
                <w:szCs w:val="24"/>
              </w:rPr>
              <w:t>用</w:t>
            </w:r>
            <w:r>
              <w:rPr>
                <w:rFonts w:hint="eastAsia" w:ascii="仿宋_GB2312" w:hAnsi="仿宋_GB2312" w:eastAsia="仿宋_GB2312" w:cs="仿宋_GB2312"/>
                <w:color w:val="auto"/>
                <w:spacing w:val="7"/>
                <w:sz w:val="24"/>
                <w:szCs w:val="24"/>
              </w:rPr>
              <w:t>人单位应当自用工之日起三十日内为其职工向社会保险</w:t>
            </w:r>
            <w:r>
              <w:rPr>
                <w:rFonts w:hint="eastAsia" w:ascii="仿宋_GB2312" w:hAnsi="仿宋_GB2312" w:eastAsia="仿宋_GB2312" w:cs="仿宋_GB2312"/>
                <w:color w:val="auto"/>
                <w:spacing w:val="8"/>
                <w:sz w:val="24"/>
                <w:szCs w:val="24"/>
              </w:rPr>
              <w:t>经办机构申请办理社会保险登记。未办理社会保险登记</w:t>
            </w:r>
            <w:r>
              <w:rPr>
                <w:rFonts w:hint="eastAsia" w:ascii="仿宋_GB2312" w:hAnsi="仿宋_GB2312" w:eastAsia="仿宋_GB2312" w:cs="仿宋_GB2312"/>
                <w:color w:val="auto"/>
                <w:spacing w:val="7"/>
                <w:sz w:val="24"/>
                <w:szCs w:val="24"/>
              </w:rPr>
              <w:t>的，由社会保险经办机构核定其应当缴纳的社会保险费。</w:t>
            </w:r>
            <w:r>
              <w:rPr>
                <w:rFonts w:hint="eastAsia" w:ascii="仿宋_GB2312" w:hAnsi="仿宋_GB2312" w:eastAsia="仿宋_GB2312" w:cs="仿宋_GB2312"/>
                <w:color w:val="auto"/>
                <w:spacing w:val="3"/>
                <w:sz w:val="24"/>
                <w:szCs w:val="24"/>
              </w:rPr>
              <w:t>第八十四条：用人单位不办理社会保险登记的，由社会保险行政部门责令限期改正；逾期不改正的，对用人单位处应缴社会保险费数额一倍以上三倍以下的罚款，对其直接</w:t>
            </w:r>
            <w:r>
              <w:rPr>
                <w:rFonts w:hint="eastAsia" w:ascii="仿宋_GB2312" w:hAnsi="仿宋_GB2312" w:eastAsia="仿宋_GB2312" w:cs="仿宋_GB2312"/>
                <w:color w:val="auto"/>
                <w:spacing w:val="8"/>
                <w:sz w:val="24"/>
                <w:szCs w:val="24"/>
              </w:rPr>
              <w:t>负责的主管人员和其他直接责任人员处五百元以上三千</w:t>
            </w:r>
            <w:r>
              <w:rPr>
                <w:rFonts w:hint="eastAsia" w:ascii="仿宋_GB2312" w:hAnsi="仿宋_GB2312" w:eastAsia="仿宋_GB2312" w:cs="仿宋_GB2312"/>
                <w:color w:val="auto"/>
                <w:spacing w:val="16"/>
                <w:sz w:val="24"/>
                <w:szCs w:val="24"/>
              </w:rPr>
              <w:t>以下的罚款。</w:t>
            </w:r>
          </w:p>
        </w:tc>
        <w:tc>
          <w:tcPr>
            <w:tcW w:w="561" w:type="pct"/>
            <w:vAlign w:val="center"/>
          </w:tcPr>
          <w:p>
            <w:pPr>
              <w:spacing w:line="240" w:lineRule="auto"/>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谈话、提醒、说服教育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w:t>
            </w:r>
          </w:p>
        </w:tc>
        <w:tc>
          <w:tcPr>
            <w:tcW w:w="814" w:type="pct"/>
            <w:vAlign w:val="center"/>
          </w:tcPr>
          <w:p>
            <w:pPr>
              <w:spacing w:line="240" w:lineRule="auto"/>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
                <w:sz w:val="24"/>
                <w:szCs w:val="24"/>
              </w:rPr>
              <w:t>对定点医药机构</w:t>
            </w:r>
            <w:r>
              <w:rPr>
                <w:rFonts w:hint="eastAsia" w:ascii="仿宋_GB2312" w:hAnsi="仿宋_GB2312" w:eastAsia="仿宋_GB2312" w:cs="仿宋_GB2312"/>
                <w:color w:val="auto"/>
                <w:spacing w:val="14"/>
                <w:sz w:val="24"/>
                <w:szCs w:val="24"/>
              </w:rPr>
              <w:t>违反管理规定、</w:t>
            </w:r>
            <w:r>
              <w:rPr>
                <w:rFonts w:hint="eastAsia" w:ascii="仿宋_GB2312" w:hAnsi="仿宋_GB2312" w:eastAsia="仿宋_GB2312" w:cs="仿宋_GB2312"/>
                <w:color w:val="auto"/>
                <w:spacing w:val="-1"/>
                <w:sz w:val="24"/>
                <w:szCs w:val="24"/>
              </w:rPr>
              <w:t>拒绝监督检查或</w:t>
            </w:r>
            <w:r>
              <w:rPr>
                <w:rFonts w:hint="eastAsia" w:ascii="仿宋_GB2312" w:hAnsi="仿宋_GB2312" w:eastAsia="仿宋_GB2312" w:cs="仿宋_GB2312"/>
                <w:color w:val="auto"/>
                <w:spacing w:val="-2"/>
                <w:sz w:val="24"/>
                <w:szCs w:val="24"/>
              </w:rPr>
              <w:t>提供虚假情况</w:t>
            </w:r>
          </w:p>
        </w:tc>
        <w:tc>
          <w:tcPr>
            <w:tcW w:w="1502" w:type="pct"/>
            <w:vAlign w:val="center"/>
          </w:tcPr>
          <w:p>
            <w:pPr>
              <w:spacing w:line="240" w:lineRule="auto"/>
              <w:jc w:val="both"/>
              <w:rPr>
                <w:rFonts w:hint="eastAsia" w:ascii="仿宋_GB2312" w:hAnsi="仿宋_GB2312" w:eastAsia="仿宋_GB2312" w:cs="仿宋_GB2312"/>
                <w:color w:val="auto"/>
                <w:sz w:val="24"/>
                <w:szCs w:val="24"/>
              </w:rPr>
            </w:pPr>
          </w:p>
          <w:p>
            <w:pPr>
              <w:spacing w:line="240" w:lineRule="auto"/>
              <w:ind w:left="122" w:right="145"/>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2"/>
                <w:sz w:val="24"/>
                <w:szCs w:val="24"/>
              </w:rPr>
              <w:t>自行纠正或者在限期内改正，约谈有关</w:t>
            </w:r>
            <w:r>
              <w:rPr>
                <w:rFonts w:hint="eastAsia" w:ascii="仿宋_GB2312" w:hAnsi="仿宋_GB2312" w:eastAsia="仿宋_GB2312" w:cs="仿宋_GB2312"/>
                <w:color w:val="auto"/>
                <w:spacing w:val="20"/>
                <w:sz w:val="24"/>
                <w:szCs w:val="24"/>
              </w:rPr>
              <w:t>负责人。</w:t>
            </w:r>
          </w:p>
        </w:tc>
        <w:tc>
          <w:tcPr>
            <w:tcW w:w="1798" w:type="pct"/>
            <w:vAlign w:val="center"/>
          </w:tcPr>
          <w:p>
            <w:pPr>
              <w:spacing w:line="240" w:lineRule="auto"/>
              <w:ind w:right="-122" w:firstLine="5"/>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pacing w:val="5"/>
                <w:sz w:val="24"/>
                <w:szCs w:val="24"/>
              </w:rPr>
              <w:t>【行政法规】</w:t>
            </w:r>
            <w:r>
              <w:rPr>
                <w:rFonts w:hint="eastAsia" w:ascii="仿宋_GB2312" w:hAnsi="仿宋_GB2312" w:eastAsia="仿宋_GB2312" w:cs="仿宋_GB2312"/>
                <w:color w:val="auto"/>
                <w:spacing w:val="5"/>
                <w:sz w:val="24"/>
                <w:szCs w:val="24"/>
              </w:rPr>
              <w:t>《医疗保障基金使用监督管理条例》第三十</w:t>
            </w:r>
            <w:r>
              <w:rPr>
                <w:rFonts w:hint="eastAsia" w:ascii="仿宋_GB2312" w:hAnsi="仿宋_GB2312" w:eastAsia="仿宋_GB2312" w:cs="仿宋_GB2312"/>
                <w:color w:val="auto"/>
                <w:spacing w:val="3"/>
                <w:sz w:val="24"/>
                <w:szCs w:val="24"/>
              </w:rPr>
              <w:t>九条：定点医药机构有下列情形之一的，由医疗保障行政部门责令改正，并可以约谈有关负责人；拒不改正的，处</w:t>
            </w:r>
            <w:r>
              <w:rPr>
                <w:rFonts w:hint="eastAsia" w:ascii="仿宋_GB2312" w:hAnsi="仿宋_GB2312" w:eastAsia="仿宋_GB2312" w:cs="仿宋_GB2312"/>
                <w:color w:val="auto"/>
                <w:spacing w:val="11"/>
                <w:sz w:val="24"/>
                <w:szCs w:val="24"/>
              </w:rPr>
              <w:t>1万元以上5万元以下的罚款；违反其他法律、行政法规</w:t>
            </w:r>
            <w:r>
              <w:rPr>
                <w:rFonts w:hint="eastAsia" w:ascii="仿宋_GB2312" w:hAnsi="仿宋_GB2312" w:eastAsia="仿宋_GB2312" w:cs="仿宋_GB2312"/>
                <w:color w:val="auto"/>
                <w:spacing w:val="7"/>
                <w:sz w:val="24"/>
                <w:szCs w:val="24"/>
              </w:rPr>
              <w:t>的，由有关主管部门依法处理：</w:t>
            </w:r>
            <w:r>
              <w:rPr>
                <w:rFonts w:hint="eastAsia" w:ascii="仿宋_GB2312" w:hAnsi="仿宋_GB2312" w:eastAsia="仿宋_GB2312" w:cs="仿宋_GB2312"/>
                <w:color w:val="auto"/>
                <w:spacing w:val="16"/>
                <w:sz w:val="24"/>
                <w:szCs w:val="24"/>
              </w:rPr>
              <w:t>(一)未建立医疗保障基金使用内部管理制度</w:t>
            </w:r>
            <w:r>
              <w:rPr>
                <w:rFonts w:hint="eastAsia" w:ascii="仿宋_GB2312" w:hAnsi="仿宋_GB2312" w:eastAsia="仿宋_GB2312" w:cs="仿宋_GB2312"/>
                <w:color w:val="auto"/>
                <w:spacing w:val="15"/>
                <w:sz w:val="24"/>
                <w:szCs w:val="24"/>
              </w:rPr>
              <w:t>，或者没有</w:t>
            </w:r>
            <w:r>
              <w:rPr>
                <w:rFonts w:hint="eastAsia" w:ascii="仿宋_GB2312" w:hAnsi="仿宋_GB2312" w:eastAsia="仿宋_GB2312" w:cs="仿宋_GB2312"/>
                <w:color w:val="auto"/>
                <w:spacing w:val="12"/>
                <w:sz w:val="24"/>
                <w:szCs w:val="24"/>
              </w:rPr>
              <w:t>专门机构或者人员负责医疗保障基金使用管理工作；(二)</w:t>
            </w:r>
            <w:r>
              <w:rPr>
                <w:rFonts w:hint="eastAsia" w:ascii="仿宋_GB2312" w:hAnsi="仿宋_GB2312" w:eastAsia="仿宋_GB2312" w:cs="仿宋_GB2312"/>
                <w:color w:val="auto"/>
                <w:spacing w:val="10"/>
                <w:sz w:val="24"/>
                <w:szCs w:val="24"/>
              </w:rPr>
              <w:t>未按照规定保管财务账目、会计凭证、处方、病历、治疗检查记录、费用明细、药品和医用耗材出入库记录等资料；</w:t>
            </w:r>
            <w:r>
              <w:rPr>
                <w:rFonts w:hint="eastAsia" w:ascii="仿宋_GB2312" w:hAnsi="仿宋_GB2312" w:eastAsia="仿宋_GB2312" w:cs="仿宋_GB2312"/>
                <w:color w:val="auto"/>
                <w:spacing w:val="19"/>
                <w:sz w:val="24"/>
                <w:szCs w:val="24"/>
              </w:rPr>
              <w:t>(三)未按照规定通过医疗保障信息系统传送医疗保障基</w:t>
            </w:r>
            <w:r>
              <w:rPr>
                <w:rFonts w:hint="eastAsia" w:ascii="仿宋_GB2312" w:hAnsi="仿宋_GB2312" w:eastAsia="仿宋_GB2312" w:cs="仿宋_GB2312"/>
                <w:color w:val="auto"/>
                <w:spacing w:val="21"/>
                <w:sz w:val="24"/>
                <w:szCs w:val="24"/>
              </w:rPr>
              <w:t>金使用有关数据；(四)未按照规定向医疗保障行政部门报告医疗保障基金使用监督管理所需信息(五)未按照规</w:t>
            </w:r>
            <w:r>
              <w:rPr>
                <w:rFonts w:hint="eastAsia" w:ascii="仿宋_GB2312" w:hAnsi="仿宋_GB2312" w:eastAsia="仿宋_GB2312" w:cs="仿宋_GB2312"/>
                <w:color w:val="auto"/>
                <w:spacing w:val="16"/>
                <w:sz w:val="24"/>
                <w:szCs w:val="24"/>
              </w:rPr>
              <w:t>定向社会公开医药费用、费用结构等信息；(六)除急诊、</w:t>
            </w:r>
            <w:r>
              <w:rPr>
                <w:rFonts w:hint="eastAsia" w:ascii="仿宋_GB2312" w:hAnsi="仿宋_GB2312" w:eastAsia="仿宋_GB2312" w:cs="仿宋_GB2312"/>
                <w:color w:val="auto"/>
                <w:spacing w:val="3"/>
                <w:sz w:val="24"/>
                <w:szCs w:val="24"/>
              </w:rPr>
              <w:t>抢救等特殊情形外，未经参保人员或者其近亲属、监护人</w:t>
            </w:r>
            <w:r>
              <w:rPr>
                <w:rFonts w:hint="eastAsia" w:ascii="仿宋_GB2312" w:hAnsi="仿宋_GB2312" w:eastAsia="仿宋_GB2312" w:cs="仿宋_GB2312"/>
                <w:color w:val="auto"/>
                <w:spacing w:val="-4"/>
                <w:sz w:val="24"/>
                <w:szCs w:val="24"/>
              </w:rPr>
              <w:t>同意提供医疗保障基金支付范围以外的医药服务；(七)</w:t>
            </w:r>
            <w:r>
              <w:rPr>
                <w:rFonts w:hint="eastAsia" w:ascii="仿宋_GB2312" w:hAnsi="仿宋_GB2312" w:eastAsia="仿宋_GB2312" w:cs="仿宋_GB2312"/>
                <w:color w:val="auto"/>
                <w:spacing w:val="6"/>
                <w:sz w:val="24"/>
                <w:szCs w:val="24"/>
              </w:rPr>
              <w:t>拒绝医疗保障等行政部门监督检查或者提供虚假情况。</w:t>
            </w:r>
          </w:p>
        </w:tc>
        <w:tc>
          <w:tcPr>
            <w:tcW w:w="561" w:type="pct"/>
            <w:vAlign w:val="center"/>
          </w:tcPr>
          <w:p>
            <w:pPr>
              <w:spacing w:line="240" w:lineRule="auto"/>
              <w:ind w:left="-1" w:leftChars="-1" w:right="-6" w:rightChars="-3" w:hanging="1"/>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20"/>
                <w:sz w:val="24"/>
                <w:szCs w:val="24"/>
              </w:rPr>
              <w:t>提醒、谈话、说服教育、</w:t>
            </w:r>
            <w:r>
              <w:rPr>
                <w:rFonts w:hint="eastAsia" w:ascii="仿宋_GB2312" w:hAnsi="仿宋_GB2312" w:eastAsia="仿宋_GB2312" w:cs="仿宋_GB2312"/>
                <w:color w:val="auto"/>
                <w:spacing w:val="2"/>
                <w:sz w:val="24"/>
                <w:szCs w:val="24"/>
              </w:rPr>
              <w:t>回访督促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w:t>
            </w:r>
          </w:p>
        </w:tc>
        <w:tc>
          <w:tcPr>
            <w:tcW w:w="814" w:type="pct"/>
            <w:vAlign w:val="center"/>
          </w:tcPr>
          <w:p>
            <w:pPr>
              <w:spacing w:line="240" w:lineRule="auto"/>
              <w:jc w:val="both"/>
              <w:rPr>
                <w:rFonts w:hint="eastAsia" w:ascii="仿宋_GB2312" w:hAnsi="仿宋_GB2312" w:eastAsia="仿宋_GB2312" w:cs="仿宋_GB2312"/>
                <w:color w:val="auto"/>
                <w:sz w:val="24"/>
                <w:szCs w:val="24"/>
              </w:rPr>
            </w:pPr>
          </w:p>
          <w:p>
            <w:pPr>
              <w:spacing w:line="240" w:lineRule="auto"/>
              <w:ind w:left="14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
                <w:sz w:val="24"/>
                <w:szCs w:val="24"/>
              </w:rPr>
              <w:t>对定点医药机构</w:t>
            </w:r>
            <w:r>
              <w:rPr>
                <w:rFonts w:hint="eastAsia" w:ascii="仿宋_GB2312" w:hAnsi="仿宋_GB2312" w:eastAsia="仿宋_GB2312" w:cs="仿宋_GB2312"/>
                <w:color w:val="auto"/>
                <w:spacing w:val="-1"/>
                <w:sz w:val="24"/>
                <w:szCs w:val="24"/>
              </w:rPr>
              <w:t>基金使用一般违</w:t>
            </w:r>
            <w:r>
              <w:rPr>
                <w:rFonts w:hint="eastAsia" w:ascii="仿宋_GB2312" w:hAnsi="仿宋_GB2312" w:eastAsia="仿宋_GB2312" w:cs="仿宋_GB2312"/>
                <w:color w:val="auto"/>
                <w:spacing w:val="-2"/>
                <w:sz w:val="24"/>
                <w:szCs w:val="24"/>
              </w:rPr>
              <w:t>法行为</w:t>
            </w:r>
          </w:p>
        </w:tc>
        <w:tc>
          <w:tcPr>
            <w:tcW w:w="1502" w:type="pct"/>
            <w:vAlign w:val="center"/>
          </w:tcPr>
          <w:p>
            <w:pPr>
              <w:spacing w:line="240" w:lineRule="auto"/>
              <w:rPr>
                <w:rFonts w:hint="eastAsia" w:ascii="仿宋_GB2312" w:hAnsi="仿宋_GB2312" w:eastAsia="仿宋_GB2312" w:cs="仿宋_GB2312"/>
                <w:color w:val="auto"/>
                <w:sz w:val="24"/>
                <w:szCs w:val="24"/>
              </w:rPr>
            </w:pPr>
          </w:p>
          <w:p>
            <w:pPr>
              <w:spacing w:line="240" w:lineRule="auto"/>
              <w:ind w:left="131" w:right="11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9"/>
                <w:sz w:val="24"/>
                <w:szCs w:val="24"/>
              </w:rPr>
              <w:t>(一)违法行为轻微，没有造成医疗保</w:t>
            </w:r>
            <w:r>
              <w:rPr>
                <w:rFonts w:hint="eastAsia" w:ascii="仿宋_GB2312" w:hAnsi="仿宋_GB2312" w:eastAsia="仿宋_GB2312" w:cs="仿宋_GB2312"/>
                <w:color w:val="auto"/>
                <w:spacing w:val="4"/>
                <w:sz w:val="24"/>
                <w:szCs w:val="24"/>
              </w:rPr>
              <w:t>障基金损失，并自行纠正或在限期内改</w:t>
            </w:r>
            <w:r>
              <w:rPr>
                <w:rFonts w:hint="eastAsia" w:ascii="仿宋_GB2312" w:hAnsi="仿宋_GB2312" w:eastAsia="仿宋_GB2312" w:cs="仿宋_GB2312"/>
                <w:color w:val="auto"/>
                <w:spacing w:val="-6"/>
                <w:sz w:val="24"/>
                <w:szCs w:val="24"/>
              </w:rPr>
              <w:t>正；</w:t>
            </w:r>
            <w:r>
              <w:rPr>
                <w:rFonts w:hint="eastAsia" w:ascii="仿宋_GB2312" w:hAnsi="仿宋_GB2312" w:eastAsia="仿宋_GB2312" w:cs="仿宋_GB2312"/>
                <w:color w:val="auto"/>
                <w:spacing w:val="11"/>
                <w:sz w:val="24"/>
                <w:szCs w:val="24"/>
              </w:rPr>
              <w:t>(二)初次违法且危害后果轻微，并自</w:t>
            </w:r>
            <w:r>
              <w:rPr>
                <w:rFonts w:hint="eastAsia" w:ascii="仿宋_GB2312" w:hAnsi="仿宋_GB2312" w:eastAsia="仿宋_GB2312" w:cs="仿宋_GB2312"/>
                <w:color w:val="auto"/>
                <w:spacing w:val="9"/>
                <w:sz w:val="24"/>
                <w:szCs w:val="24"/>
              </w:rPr>
              <w:t>行纠正或在限期内改正。</w:t>
            </w:r>
          </w:p>
        </w:tc>
        <w:tc>
          <w:tcPr>
            <w:tcW w:w="1798" w:type="pct"/>
            <w:vAlign w:val="center"/>
          </w:tcPr>
          <w:p>
            <w:pPr>
              <w:spacing w:line="240" w:lineRule="auto"/>
              <w:ind w:left="124" w:right="97" w:hanging="90"/>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pacing w:val="4"/>
                <w:sz w:val="24"/>
                <w:szCs w:val="24"/>
              </w:rPr>
              <w:t>【行政法规】</w:t>
            </w:r>
            <w:r>
              <w:rPr>
                <w:rFonts w:hint="eastAsia" w:ascii="仿宋_GB2312" w:hAnsi="仿宋_GB2312" w:eastAsia="仿宋_GB2312" w:cs="仿宋_GB2312"/>
                <w:color w:val="auto"/>
                <w:spacing w:val="4"/>
                <w:sz w:val="24"/>
                <w:szCs w:val="24"/>
              </w:rPr>
              <w:t>《医疗保障基金使用监督管理条例》第三十</w:t>
            </w:r>
            <w:r>
              <w:rPr>
                <w:rFonts w:hint="eastAsia" w:ascii="仿宋_GB2312" w:hAnsi="仿宋_GB2312" w:eastAsia="仿宋_GB2312" w:cs="仿宋_GB2312"/>
                <w:color w:val="auto"/>
                <w:spacing w:val="3"/>
                <w:sz w:val="24"/>
                <w:szCs w:val="24"/>
              </w:rPr>
              <w:t>八条：定点医药机构有下列情形之一的，由医疗保障行政</w:t>
            </w:r>
            <w:r>
              <w:rPr>
                <w:rFonts w:hint="eastAsia" w:ascii="仿宋_GB2312" w:hAnsi="仿宋_GB2312" w:eastAsia="仿宋_GB2312" w:cs="仿宋_GB2312"/>
                <w:color w:val="auto"/>
                <w:spacing w:val="4"/>
                <w:sz w:val="24"/>
                <w:szCs w:val="24"/>
              </w:rPr>
              <w:t>部门责令改正，并可以约谈有关负责人；造成医疗保</w:t>
            </w:r>
            <w:r>
              <w:rPr>
                <w:rFonts w:hint="eastAsia" w:ascii="仿宋_GB2312" w:hAnsi="仿宋_GB2312" w:eastAsia="仿宋_GB2312" w:cs="仿宋_GB2312"/>
                <w:color w:val="auto"/>
                <w:spacing w:val="3"/>
                <w:sz w:val="24"/>
                <w:szCs w:val="24"/>
              </w:rPr>
              <w:t>障基</w:t>
            </w:r>
            <w:r>
              <w:rPr>
                <w:rFonts w:hint="eastAsia" w:ascii="仿宋_GB2312" w:hAnsi="仿宋_GB2312" w:eastAsia="仿宋_GB2312" w:cs="仿宋_GB2312"/>
                <w:color w:val="auto"/>
                <w:spacing w:val="12"/>
                <w:sz w:val="24"/>
                <w:szCs w:val="24"/>
              </w:rPr>
              <w:t>金损失的，责令退回，处造成损失金额1倍以上2倍以下</w:t>
            </w:r>
            <w:r>
              <w:rPr>
                <w:rFonts w:hint="eastAsia" w:ascii="仿宋_GB2312" w:hAnsi="仿宋_GB2312" w:eastAsia="仿宋_GB2312" w:cs="仿宋_GB2312"/>
                <w:color w:val="auto"/>
                <w:spacing w:val="3"/>
                <w:sz w:val="24"/>
                <w:szCs w:val="24"/>
              </w:rPr>
              <w:t>的罚款；拒不改正或者造成严重后果的，责令定点医药机</w:t>
            </w:r>
            <w:r>
              <w:rPr>
                <w:rFonts w:hint="eastAsia" w:ascii="仿宋_GB2312" w:hAnsi="仿宋_GB2312" w:eastAsia="仿宋_GB2312" w:cs="仿宋_GB2312"/>
                <w:color w:val="auto"/>
                <w:spacing w:val="12"/>
                <w:sz w:val="24"/>
                <w:szCs w:val="24"/>
              </w:rPr>
              <w:t>构暂停相关责任部门6个月以上1年以下涉及医疗保</w:t>
            </w:r>
            <w:r>
              <w:rPr>
                <w:rFonts w:hint="eastAsia" w:ascii="仿宋_GB2312" w:hAnsi="仿宋_GB2312" w:eastAsia="仿宋_GB2312" w:cs="仿宋_GB2312"/>
                <w:color w:val="auto"/>
                <w:spacing w:val="11"/>
                <w:sz w:val="24"/>
                <w:szCs w:val="24"/>
              </w:rPr>
              <w:t>障基</w:t>
            </w:r>
            <w:r>
              <w:rPr>
                <w:rFonts w:hint="eastAsia" w:ascii="仿宋_GB2312" w:hAnsi="仿宋_GB2312" w:eastAsia="仿宋_GB2312" w:cs="仿宋_GB2312"/>
                <w:color w:val="auto"/>
                <w:spacing w:val="4"/>
                <w:sz w:val="24"/>
                <w:szCs w:val="24"/>
              </w:rPr>
              <w:t>金使用的医药服务；违反其他法律、行政法规的，由有</w:t>
            </w:r>
            <w:r>
              <w:rPr>
                <w:rFonts w:hint="eastAsia" w:ascii="仿宋_GB2312" w:hAnsi="仿宋_GB2312" w:eastAsia="仿宋_GB2312" w:cs="仿宋_GB2312"/>
                <w:color w:val="auto"/>
                <w:spacing w:val="3"/>
                <w:sz w:val="24"/>
                <w:szCs w:val="24"/>
              </w:rPr>
              <w:t>关</w:t>
            </w:r>
            <w:r>
              <w:rPr>
                <w:rFonts w:hint="eastAsia" w:ascii="仿宋_GB2312" w:hAnsi="仿宋_GB2312" w:eastAsia="仿宋_GB2312" w:cs="仿宋_GB2312"/>
                <w:color w:val="auto"/>
                <w:spacing w:val="12"/>
                <w:sz w:val="24"/>
                <w:szCs w:val="24"/>
              </w:rPr>
              <w:t>主管部门依法处理：</w:t>
            </w:r>
            <w:r>
              <w:rPr>
                <w:rFonts w:hint="eastAsia" w:ascii="仿宋_GB2312" w:hAnsi="仿宋_GB2312" w:eastAsia="仿宋_GB2312" w:cs="仿宋_GB2312"/>
                <w:color w:val="auto"/>
                <w:spacing w:val="16"/>
                <w:sz w:val="24"/>
                <w:szCs w:val="24"/>
              </w:rPr>
              <w:t>(一)分解住院、挂床住院；(二)违反诊疗规范过度诊</w:t>
            </w:r>
            <w:r>
              <w:rPr>
                <w:rFonts w:hint="eastAsia" w:ascii="仿宋_GB2312" w:hAnsi="仿宋_GB2312" w:eastAsia="仿宋_GB2312" w:cs="仿宋_GB2312"/>
                <w:color w:val="auto"/>
                <w:spacing w:val="4"/>
                <w:sz w:val="24"/>
                <w:szCs w:val="24"/>
              </w:rPr>
              <w:t>疗、过度检查、分解处方、超量开药、重复开药或者提供</w:t>
            </w:r>
            <w:r>
              <w:rPr>
                <w:rFonts w:hint="eastAsia" w:ascii="仿宋_GB2312" w:hAnsi="仿宋_GB2312" w:eastAsia="仿宋_GB2312" w:cs="仿宋_GB2312"/>
                <w:color w:val="auto"/>
                <w:spacing w:val="16"/>
                <w:sz w:val="24"/>
                <w:szCs w:val="24"/>
              </w:rPr>
              <w:t>其他不必要的医药服务；(三)重复收费、超标准收费、</w:t>
            </w:r>
            <w:r>
              <w:rPr>
                <w:rFonts w:hint="eastAsia" w:ascii="仿宋_GB2312" w:hAnsi="仿宋_GB2312" w:eastAsia="仿宋_GB2312" w:cs="仿宋_GB2312"/>
                <w:color w:val="auto"/>
                <w:spacing w:val="12"/>
                <w:sz w:val="24"/>
                <w:szCs w:val="24"/>
              </w:rPr>
              <w:t>分解项目收费；(四)串换药品、医用耗材、诊疗项目和服务设施；(五)为参保人员利用其享受医疗保障待遇的</w:t>
            </w:r>
            <w:r>
              <w:rPr>
                <w:rFonts w:hint="eastAsia" w:ascii="仿宋_GB2312" w:hAnsi="仿宋_GB2312" w:eastAsia="仿宋_GB2312" w:cs="仿宋_GB2312"/>
                <w:color w:val="auto"/>
                <w:spacing w:val="4"/>
                <w:sz w:val="24"/>
                <w:szCs w:val="24"/>
              </w:rPr>
              <w:t>机会转卖药品，接受返还现金、实物或者获得其他非法利</w:t>
            </w:r>
            <w:r>
              <w:rPr>
                <w:rFonts w:hint="eastAsia" w:ascii="仿宋_GB2312" w:hAnsi="仿宋_GB2312" w:eastAsia="仿宋_GB2312" w:cs="仿宋_GB2312"/>
                <w:color w:val="auto"/>
                <w:spacing w:val="12"/>
                <w:sz w:val="24"/>
                <w:szCs w:val="24"/>
              </w:rPr>
              <w:t>益提供便利；(六)将不属于医疗保障基金支付范围的医药费用纳入医疗保障基金结算；(七)造成医疗保障基金</w:t>
            </w:r>
            <w:r>
              <w:rPr>
                <w:rFonts w:hint="eastAsia" w:ascii="仿宋_GB2312" w:hAnsi="仿宋_GB2312" w:eastAsia="仿宋_GB2312" w:cs="仿宋_GB2312"/>
                <w:color w:val="auto"/>
                <w:spacing w:val="11"/>
                <w:sz w:val="24"/>
                <w:szCs w:val="24"/>
              </w:rPr>
              <w:t>损失的其他违法行为。</w:t>
            </w:r>
          </w:p>
        </w:tc>
        <w:tc>
          <w:tcPr>
            <w:tcW w:w="561" w:type="pct"/>
            <w:vAlign w:val="center"/>
          </w:tcPr>
          <w:p>
            <w:pPr>
              <w:spacing w:line="240" w:lineRule="auto"/>
              <w:ind w:left="-94" w:right="-102"/>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8"/>
                <w:sz w:val="24"/>
                <w:szCs w:val="24"/>
              </w:rPr>
              <w:t>提醒、谈话、</w:t>
            </w:r>
            <w:r>
              <w:rPr>
                <w:rFonts w:hint="eastAsia" w:ascii="仿宋_GB2312" w:hAnsi="仿宋_GB2312" w:eastAsia="仿宋_GB2312" w:cs="仿宋_GB2312"/>
                <w:color w:val="auto"/>
                <w:spacing w:val="20"/>
                <w:sz w:val="24"/>
                <w:szCs w:val="24"/>
              </w:rPr>
              <w:t>说服教育、</w:t>
            </w:r>
            <w:r>
              <w:rPr>
                <w:rFonts w:hint="eastAsia" w:ascii="仿宋_GB2312" w:hAnsi="仿宋_GB2312" w:eastAsia="仿宋_GB2312" w:cs="仿宋_GB2312"/>
                <w:color w:val="auto"/>
                <w:spacing w:val="2"/>
                <w:sz w:val="24"/>
                <w:szCs w:val="24"/>
              </w:rPr>
              <w:t>回访督促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w:t>
            </w:r>
          </w:p>
        </w:tc>
        <w:tc>
          <w:tcPr>
            <w:tcW w:w="814" w:type="pct"/>
            <w:vAlign w:val="center"/>
          </w:tcPr>
          <w:p>
            <w:pPr>
              <w:spacing w:line="240" w:lineRule="auto"/>
              <w:ind w:left="14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
                <w:sz w:val="24"/>
                <w:szCs w:val="24"/>
              </w:rPr>
              <w:t>对个人造成医疗</w:t>
            </w:r>
            <w:r>
              <w:rPr>
                <w:rFonts w:hint="eastAsia" w:ascii="仿宋_GB2312" w:hAnsi="仿宋_GB2312" w:eastAsia="仿宋_GB2312" w:cs="仿宋_GB2312"/>
                <w:color w:val="auto"/>
                <w:spacing w:val="2"/>
                <w:sz w:val="24"/>
                <w:szCs w:val="24"/>
              </w:rPr>
              <w:t>保障基金损失的</w:t>
            </w:r>
            <w:r>
              <w:rPr>
                <w:rFonts w:hint="eastAsia" w:ascii="仿宋_GB2312" w:hAnsi="仿宋_GB2312" w:eastAsia="仿宋_GB2312" w:cs="仿宋_GB2312"/>
                <w:color w:val="auto"/>
                <w:spacing w:val="5"/>
                <w:sz w:val="24"/>
                <w:szCs w:val="24"/>
              </w:rPr>
              <w:t>行为</w:t>
            </w:r>
          </w:p>
        </w:tc>
        <w:tc>
          <w:tcPr>
            <w:tcW w:w="1502" w:type="pct"/>
            <w:vAlign w:val="center"/>
          </w:tcPr>
          <w:p>
            <w:pPr>
              <w:spacing w:line="240" w:lineRule="auto"/>
              <w:ind w:left="131" w:right="88" w:firstLine="9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2"/>
                <w:sz w:val="24"/>
                <w:szCs w:val="24"/>
              </w:rPr>
              <w:t>(一)违法行为轻微，没有造成医疗保</w:t>
            </w:r>
            <w:r>
              <w:rPr>
                <w:rFonts w:hint="eastAsia" w:ascii="仿宋_GB2312" w:hAnsi="仿宋_GB2312" w:eastAsia="仿宋_GB2312" w:cs="仿宋_GB2312"/>
                <w:color w:val="auto"/>
                <w:spacing w:val="5"/>
                <w:sz w:val="24"/>
                <w:szCs w:val="24"/>
              </w:rPr>
              <w:t>障基金损失，并自行纠正或在限期内改</w:t>
            </w:r>
            <w:r>
              <w:rPr>
                <w:rFonts w:hint="eastAsia" w:ascii="仿宋_GB2312" w:hAnsi="仿宋_GB2312" w:eastAsia="仿宋_GB2312" w:cs="仿宋_GB2312"/>
                <w:color w:val="auto"/>
                <w:spacing w:val="-6"/>
                <w:sz w:val="24"/>
                <w:szCs w:val="24"/>
              </w:rPr>
              <w:t>正；</w:t>
            </w:r>
            <w:r>
              <w:rPr>
                <w:rFonts w:hint="eastAsia" w:ascii="仿宋_GB2312" w:hAnsi="仿宋_GB2312" w:eastAsia="仿宋_GB2312" w:cs="仿宋_GB2312"/>
                <w:color w:val="auto"/>
                <w:spacing w:val="12"/>
                <w:sz w:val="24"/>
                <w:szCs w:val="24"/>
              </w:rPr>
              <w:t>(二)初次违法且危害后果轻微并及时</w:t>
            </w:r>
            <w:r>
              <w:rPr>
                <w:rFonts w:hint="eastAsia" w:ascii="仿宋_GB2312" w:hAnsi="仿宋_GB2312" w:eastAsia="仿宋_GB2312" w:cs="仿宋_GB2312"/>
                <w:color w:val="auto"/>
                <w:spacing w:val="25"/>
                <w:sz w:val="24"/>
                <w:szCs w:val="24"/>
              </w:rPr>
              <w:t>退回的。</w:t>
            </w:r>
          </w:p>
        </w:tc>
        <w:tc>
          <w:tcPr>
            <w:tcW w:w="1798" w:type="pct"/>
            <w:vAlign w:val="center"/>
          </w:tcPr>
          <w:p>
            <w:pPr>
              <w:spacing w:line="240" w:lineRule="auto"/>
              <w:ind w:left="124" w:right="97" w:hanging="9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pacing w:val="16"/>
                <w:sz w:val="24"/>
                <w:szCs w:val="24"/>
              </w:rPr>
              <w:t>【行政法规】</w:t>
            </w:r>
            <w:r>
              <w:rPr>
                <w:rFonts w:hint="eastAsia" w:ascii="仿宋_GB2312" w:hAnsi="仿宋_GB2312" w:eastAsia="仿宋_GB2312" w:cs="仿宋_GB2312"/>
                <w:color w:val="auto"/>
                <w:spacing w:val="16"/>
                <w:sz w:val="24"/>
                <w:szCs w:val="24"/>
              </w:rPr>
              <w:t>《医疗保障基金使用监督管理条例》第四十一条：个人有下列情形之一的，由医疗保障行政部门责令改正；造成医疗保障基金损失的，责令退回；属于参保人员的，暂停其医疗费用联网结算3个月至12个月：(一)将本人的医疗保障凭证交由他人冒名使用；(二)重复享受医疗保障待遇；(三)利用享受医疗保障待遇的机会转卖药品，接受返还现金、实物或者获得其他非法利益。个人以骗取医疗保障基金为目的，实施了前款规定行为之一，造成医疗保障基金损失的；或者使用他人医疗保障凭证冒名就医、购药的；或者通过伪造、变造、隐匿涂改、销毁医学文书、医学证明、会计凭证、电子信息等有关资料或者虚构医药服务项目等方式，骗取医疗保障基金支出的，除依照前款规定处理外，还应当由医疗保障行政部门处骗取金额2倍以上5倍以下的罚款。</w:t>
            </w:r>
          </w:p>
        </w:tc>
        <w:tc>
          <w:tcPr>
            <w:tcW w:w="561" w:type="pct"/>
            <w:vAlign w:val="center"/>
          </w:tcPr>
          <w:p>
            <w:pPr>
              <w:spacing w:line="240" w:lineRule="auto"/>
              <w:ind w:left="31680" w:right="-102" w:hanging="16" w:hangingChars="6"/>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8"/>
                <w:sz w:val="24"/>
                <w:szCs w:val="24"/>
              </w:rPr>
              <w:t>提醒、谈话、</w:t>
            </w:r>
            <w:r>
              <w:rPr>
                <w:rFonts w:hint="eastAsia" w:ascii="仿宋_GB2312" w:hAnsi="仿宋_GB2312" w:eastAsia="仿宋_GB2312" w:cs="仿宋_GB2312"/>
                <w:color w:val="auto"/>
                <w:spacing w:val="20"/>
                <w:sz w:val="24"/>
                <w:szCs w:val="24"/>
              </w:rPr>
              <w:t>说服教育、</w:t>
            </w:r>
            <w:r>
              <w:rPr>
                <w:rFonts w:hint="eastAsia" w:ascii="仿宋_GB2312" w:hAnsi="仿宋_GB2312" w:eastAsia="仿宋_GB2312" w:cs="仿宋_GB2312"/>
                <w:color w:val="auto"/>
                <w:spacing w:val="2"/>
                <w:sz w:val="24"/>
                <w:szCs w:val="24"/>
              </w:rPr>
              <w:t>回访督促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spacing w:line="240" w:lineRule="auto"/>
              <w:ind w:left="125" w:right="89" w:firstLine="9"/>
              <w:jc w:val="center"/>
              <w:rPr>
                <w:rFonts w:hint="eastAsia" w:ascii="仿宋_GB2312" w:hAnsi="仿宋_GB2312" w:eastAsia="仿宋_GB2312" w:cs="仿宋_GB2312"/>
                <w:color w:val="auto"/>
                <w:spacing w:val="13"/>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color w:val="auto"/>
                <w:kern w:val="2"/>
                <w:sz w:val="40"/>
                <w:szCs w:val="40"/>
              </w:rPr>
              <w:t>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未配置符合要求的服务设施和运营标识的</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初次发生未配置符合要求的服务设施和运营标识的违法行为，危害后果轻微，经责令改正及时改正的。</w:t>
            </w:r>
          </w:p>
        </w:tc>
        <w:tc>
          <w:tcPr>
            <w:tcW w:w="1798"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1.《中华人民共和国行政处罚法》第三十三条第一款：初次违法且危害后果轻微并及时改正的，可以不予行政处罚。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2.《城市公共汽车和电车客运管理规定》第六十一条：运营企业违反本规定第二十五条.第二十六条规定，未配置符合要求的服务设施和运营标识的，由城市公共交通主管部门责令限期改正；逾期不改正的，处 5000 元以下的罚款。</w:t>
            </w:r>
          </w:p>
        </w:tc>
        <w:tc>
          <w:tcPr>
            <w:tcW w:w="561" w:type="pct"/>
            <w:vAlign w:val="center"/>
          </w:tcPr>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说服教育、回访督促、行政指导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未定期对城市公共汽电车车辆及其安全设施设备进行检测、维护、更新的</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初次发生未定期对城市公共汽电车车辆及其安全设施设备进行检测、维护、更新的违法行为，经责令改正，及时改正的。</w:t>
            </w:r>
          </w:p>
        </w:tc>
        <w:tc>
          <w:tcPr>
            <w:tcW w:w="1798" w:type="pct"/>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1.《中华人民共和国行政处罚法》第三十三条第一款：初次违法且危害后果轻微并及时改正的，可以不予行政处罚。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2.《城市公共汽车和电车客运管理规定》第六十二条第一项：运营企业有下列行为之一的，由城市公共交通主管部门责令限期改正；逾期未改正的，处 5000 元以上 1 万元以下的罚款：未定期对城市公共汽电车车辆及其安全设施设备进行检测、维护、更新的；</w:t>
            </w:r>
          </w:p>
        </w:tc>
        <w:tc>
          <w:tcPr>
            <w:tcW w:w="561" w:type="pct"/>
            <w:vAlign w:val="center"/>
          </w:tcPr>
          <w:p>
            <w:pPr>
              <w:widowControl w:val="0"/>
              <w:kinsoku/>
              <w:autoSpaceDE/>
              <w:autoSpaceDN/>
              <w:adjustRightInd/>
              <w:snapToGrid/>
              <w:spacing w:line="240" w:lineRule="auto"/>
              <w:jc w:val="both"/>
              <w:textAlignment w:val="auto"/>
              <w:rPr>
                <w:rFonts w:hint="eastAsia" w:ascii="仿宋_GB2312" w:hAnsi="仿宋_GB2312" w:eastAsia="仿宋_GB2312" w:cs="仿宋_GB2312"/>
                <w:b/>
                <w:bCs/>
                <w:color w:val="auto"/>
                <w:kern w:val="2"/>
                <w:sz w:val="24"/>
                <w:szCs w:val="24"/>
              </w:rPr>
            </w:pPr>
            <w:r>
              <w:rPr>
                <w:rFonts w:hint="eastAsia" w:ascii="仿宋_GB2312" w:hAnsi="仿宋_GB2312" w:eastAsia="仿宋_GB2312" w:cs="仿宋_GB2312"/>
                <w:color w:val="auto"/>
                <w:sz w:val="24"/>
                <w:szCs w:val="24"/>
                <w:shd w:val="clear" w:color="auto" w:fill="FFFFFF"/>
              </w:rPr>
              <w:t>说服教育、回访督促、行政指导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3</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未在城市公共汽电车车辆和场站醒目位置设置安全警示标志.安全疏散示意图和安全应急设备的</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初次发生未在城市公共汽电车车辆和场站醒目位置设置安全警示标志.安全疏散示意图和安全应急设备的违法行为，经责令改正，及时改正的。</w:t>
            </w:r>
          </w:p>
        </w:tc>
        <w:tc>
          <w:tcPr>
            <w:tcW w:w="1798"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1.《中华人民共和国行政处罚法》第三十三条第一款：初次违法且危害后果轻微并及时改正的，可以不予行政处罚。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2.《城市公共汽车和电车客运管理规定》第六十二条第二项：运营企业有下列行为之一的，由城市公共交通主管部门责令限期改正；逾期未改正的，处 5000 元以上 1 万元以下的罚款：未在城市公共汽电车车辆和场站醒目位置设置安全警示标志.安全疏散示意图和安全应急设备的；</w:t>
            </w:r>
          </w:p>
        </w:tc>
        <w:tc>
          <w:tcPr>
            <w:tcW w:w="561" w:type="pct"/>
            <w:vAlign w:val="center"/>
          </w:tcPr>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说服教育、回访督促、行政指导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b/>
                <w:bCs/>
                <w:color w:val="auto"/>
                <w:kern w:val="2"/>
                <w:sz w:val="24"/>
                <w:szCs w:val="24"/>
              </w:rPr>
            </w:pPr>
            <w:r>
              <w:rPr>
                <w:rFonts w:hint="eastAsia" w:ascii="仿宋_GB2312" w:hAnsi="仿宋_GB2312" w:eastAsia="仿宋_GB2312" w:cs="仿宋_GB2312"/>
                <w:color w:val="auto"/>
                <w:sz w:val="24"/>
                <w:szCs w:val="24"/>
                <w:shd w:val="clear" w:color="auto" w:fill="FFFFFF"/>
              </w:rPr>
              <w:t>4</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使用不具备本规定的人员担任驾驶员、乘务员的</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初次发生使用不具备规定条件的人员担任驾驶员、乘务员，未发生人员伤亡事故的违法行为，经责令改正，及时改正的。</w:t>
            </w:r>
          </w:p>
        </w:tc>
        <w:tc>
          <w:tcPr>
            <w:tcW w:w="1798"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1.《中华人民共和国行政处罚法》第三十三条第一款：初次违法且危害后果轻微并及时改正的，可以不予行政处罚。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2.《城市公共汽车和电车客运管理规定》第六十二条第三项：运营企业有下列行为之一的，由城市公共交通主管部门责令限期改正；逾期未改正的，处 5000 元以上 1 万元以下的罚款：使用不具备本规定第二十七条规定条件的人员担任驾驶员.乘务员的；</w:t>
            </w:r>
          </w:p>
        </w:tc>
        <w:tc>
          <w:tcPr>
            <w:tcW w:w="561" w:type="pct"/>
            <w:vAlign w:val="center"/>
          </w:tcPr>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说服教育、回访督促、行政指导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5</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未对拟担任驾驶员、乘务员的人员进行培训、考核的</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初次发生未对拟担任驾驶员、乘务员的人员进行培训、考核的违法行为，经责令改正，及时改正的。</w:t>
            </w:r>
          </w:p>
        </w:tc>
        <w:tc>
          <w:tcPr>
            <w:tcW w:w="1798"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1.《中华人民共和国行政处罚法》第三十三条第一款：初次违法且危害后果轻微并及时改正的，可以不予行政处罚。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2.《城市公共汽车和电车客运管理规定》第六十二条第四项：运营企业有下列行为之一的，由城市公共交通主管部门责令限期改正；逾期未改正的，处 5000 元以上 1 万元以下的罚款：未对拟担任驾驶员、乘务员的人员进行培训、考核的。</w:t>
            </w:r>
          </w:p>
        </w:tc>
        <w:tc>
          <w:tcPr>
            <w:tcW w:w="561" w:type="pct"/>
            <w:vAlign w:val="center"/>
          </w:tcPr>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说服教育、回访督促、行政指导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6</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不按照规定携带车辆营运证的</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初次发生不按照规定携带车辆营运证的违法行为，经责令改正，及时改正的。</w:t>
            </w:r>
          </w:p>
        </w:tc>
        <w:tc>
          <w:tcPr>
            <w:tcW w:w="1798" w:type="pct"/>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1.《中华人民共和国行政处罚法》第三十三条第一款：初次违法且危害后果轻微并及时改正的，可以不予行政处罚。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中华人民共和国道路运输条例》第六十八条：违反本条例的规定，客运经营者、货运经营者不按照规定携带车辆营运证的，由县级以上地方人民政府交通运输主管部门责令改正，处警告或者20元以上200元以下的罚款。</w:t>
            </w:r>
          </w:p>
        </w:tc>
        <w:tc>
          <w:tcPr>
            <w:tcW w:w="561" w:type="pct"/>
            <w:vAlign w:val="center"/>
          </w:tcPr>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说服教育、回访督促、行政指导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7</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道路货物运输经营者不按照规定携带《道路运输证》的</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初次发生道路货物运输经营者不按照规定携带《道路运输证》的违法行为，经责令改正，及时改正的。</w:t>
            </w:r>
          </w:p>
        </w:tc>
        <w:tc>
          <w:tcPr>
            <w:tcW w:w="1798"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1.《中华人民共和国行政处罚法》第三十三条第一款：初次违法且危害后果轻微并及时改正的，可以不予行政处罚。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2.《道路货物运输及站场管理规定》第五十九条第二款：违法本规定，道路货物运输经营者不按照规定携带《道路运输证》的，由县级以上道路运输管理机构责令改正，处警告或者20元以上200元以下的罚款。</w:t>
            </w:r>
          </w:p>
        </w:tc>
        <w:tc>
          <w:tcPr>
            <w:tcW w:w="561" w:type="pct"/>
            <w:vAlign w:val="center"/>
          </w:tcPr>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说服教育、回访督促、行政指导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b/>
                <w:color w:val="auto"/>
                <w:sz w:val="24"/>
                <w:szCs w:val="24"/>
                <w:shd w:val="clear" w:color="auto" w:fill="FFFFFF"/>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color w:val="auto"/>
                <w:sz w:val="40"/>
                <w:szCs w:val="40"/>
                <w:shd w:val="clear" w:color="auto" w:fill="FFFFFF"/>
              </w:rPr>
              <w:t>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市场主体登记事项发生变更时，未依照《中华人民共和国市场主体登记管理条例》办理有关变更登记的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《中华人民共和国市场主体登记管理条例》第二十四条市场主体变更登记事项，应当自作出变更决议、决定或者法定变更事项发生之日起30日内向登记机关申请变更登记。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市场主体变更登记事项属于依法须经批准的，申请人应当在批准文件有效期内向登记机关申请变更登记。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《中华人民共和国市场主体登记管理条例》第四十六条　市场主体未依照本条例办理变更登记的，由登记机关责令改正；拒不改正的，处1万元以上10万元以下的罚款；情节严重的，吊销营业执照。</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市场主体未依照《中华人民共和国市场主体登记管理条例》规定办理备案的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《中华人民共和国市场主体登记管理条例》第九条市场主体的下列事项应当向登记机关办理备：</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（一）章程或者合伙协议；</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（二）经营期限或者合伙期限；</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（三）有限责任公司股东或者股份有限公司发起人认缴的出资数额，合伙企业合伙人认缴或者实际缴付的出资数额、缴付期限和出资方式；</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（四）公司董事、监事、高级管理人员</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（五）农民专业合作社（联合社）成员</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（六）参加经营的个体工商户家庭成员姓名</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（七）市场主体登记联络员、外商投资企业法律文件送达接受人；</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（八）公司、合伙企业等市场主体受益所有人相关信息；</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（九）法律、行政法规规定的其他事项</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第二十九条　市场主体变更本条例第九条规定的备案事项的，应当自作出变更决议、决定或者法定变更事项发生之日起30日内向登记机关办理备案。农民专业合作社（联合社）成员发生变更的，应当自本会计年度终了之日起90日内向登记机关办理备案。</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《中华人民共和国市场主体登记管理条例》第四十七条　市场主体未依照本条例办理备案的，由登记机关责令改正；拒不改正的，处5万元以下的罚款。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市场主体未将营业执照置于住所或者主要经营场所醒目位置的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《中华人民共和国市场主体登记管理条例》第三十六条　市场主体应当将营业执照置于住所或者主要经营场所的醒目位置。从事电子商务经营的市场主体应当在其首页显著位置持续公示营业执照信息或者相关链接标识</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《中华人民共和国市场主体登记管理条例》第四十八条第一款　市场主体未依照本条例将营业执照置于住所或者主要经营场所醒目位置的，由登记机关责令改正；拒不改正的，处3万元以下的罚款。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市场主体办理歇业备案后，自主决定开展或者已实际开展经营活动，未按照《中华人民共和国市场主体登记管理条例实施细则》第四十二条规定公示终止歇业的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《中华人民共和国市场主体登记管理条例实施细则》第四十二条第一款　市场主体办理歇业备案后，自主决定开展或者已实际开展经营活动的，应当于30日内在国家企业信用信息公示系统上公示终止歇业。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《中华人民共和国市场主体登记管理条例实施细则》第七十四条　市场主体未按照本实施细则第四十二条规定公示终止歇业的，由登记机关责令改正；拒不改正的，处3万元以下的罚款。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市场主体未依照《中华人民共和国市场主体登记管理条例实施细则》报送年度报告的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《中华人民共和国市场主体登记管理条例实施细则》第六十三条市场主体应当于每年1月1日至6月30日，通过国家企业信用信息公示系统报送上一年度年度报告，并向社会公示。</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个体工商户可以通过纸质方式报送年度报告，并自主选择年度报告内容是否向社会公示。</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歇业的市场主体应当按时公示年度报告。</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《中华人民共和国市场主体登记管理条例实施细则》第七十条市场主体未按照法律、行政法规规定的期限公示或者报送年度报告的，由登记机关列入经营异常名录，可以处1万元以下的罚款。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外国企业常驻代表机构违反《外国企业常驻代表机构登记管理条例》第十四条规定从事业务活动以外的活动的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《外国企业常驻代表机构登记管理条例》第十四条　代表机构可以从事与外国企业业务有关的下列活动：</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（一）与外国企业产品或者服务有关的市场调查、展示、宣传活动；</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（二）与外国企业产品销售、服务提供、境内采购、境内投资有关的联络活动。</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法律、行政法规或者国务院规定代表机构从事前款规定的业务活动须经批准的，应当取得批准。</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《外国企业常驻代表机构登记管理条例》第三十七条　代表机构违反本条例第十四条规定从事业务活动以外活动的，由登记机关责令限期改正；逾期未改正的，处以1万元以上10万元以下的罚款；情节严重的，吊销登记证。</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经营者未依法取得营业执照从事经营活动的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《无证无照经营查处办法》第二条任何单位或者个人不得违反法律、法规、国务院决定的规定，从事无证无照经营。</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无证无照经营查处办法》第十三条从事无照经营的，由工商行政管理部门依照相关法律、行政法规的规定予以处罚。法律、行政法规对无照经营的处罚没有明确规定的，由工商行政管理部门责令停止违法行为，没收违法所得，并处1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电子商务经营者或电子平台经营者未在首页显著位置公示营业执照信息、行政许可信息、属于不需要办理市场主体登记情形等信息,或者上述信息的链接标识的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十五条电子商务经营者应当在其首页显著位置，持续公示营业执照信息、与其经营业务有关的行政许可信息、属于依照本法第十条规定的不需要办理市场主体登记情形等信息，或者上述信息的链接标识。前款规定的信息发生变更的，电子商务经营者应当及时更新公示信息。</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七十六条第一款电子商务经营者违反本法规定，有下列行为之一的，由市场监督管理部门责令限期改正，可以处一万元以下的罚款，对其中的电子商务平台经营者，依照本法第八十一条第一款的规定处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（一）未在首页显著位置公示营业执照信息、行政许可信息、属于不需要办理市场主体登记情形等信息,或者上述信息的链接标识的。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《中华人民共和国电子商务法》第七十六条第二款电子商务平台经营者对违反前款规定的平台内经营者未采取必要措施的，由市场监督管理部门责令限期改正，可以处二万元以上十万元以下的罚款。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电子商务经营者或电子商务平台经营者未依法在首页显著位置持续公示终止电子商务的有关信息的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《中华人民共和国电子商务法》第十六条电子商务经营者自行终止从事电子商务的，应当提前三十日在首页显著位置持续公示有关信息。</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七十六条第一款电子商务经营者违反本法规定，有下列行为之一的，由市场监督管理部门责令限期改正，可以处一万元以下的罚款，对其中的电子商务平台经营者，依照本法第八十一条第一款的规定处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未在首页显著位置持续公示终止电子商务的有关信息的。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《中华人民共和国电子商务法》第七十六条第二款电子商务平台经营者对违反前款规定的平台内经营者未采取必要措施的，由市场监督管理部门责令限期改正，可以处二万元以上十万元以下的罚款。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电子商务经营者或电子商务平台经营者未明示用户信息查询、更正、删除以及用户注销的方式、程序，或者对用户信息查询、更正、删除以及用户注销设置不合理条件的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《中华人民共和国电子商务法》第二十四条第一款电子商务经营者应当明示用户信息查询、更正、删除以及用户注销的方式、程序，不得对用户信息查询、更正、删除以及用户注销设置不合理条件。</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七十六条第一款电子商务经营者违反本法规定，有下列行为之一的，由市场监督管理部门责令限期改正，可以处一万元以下的罚款，对其中的电子商务平台经营者，依照本法第八十一条第一款的规定处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未明示用户信息查询、更正、删除以及用户注销的方式、程序，或者对用户信息查询、更正、删除以及用户注销设置不合理条件的。《中华人民共和国电子商务法》第七十六条第二款电子商务平台经营者对违反前款规定的平台内经营者未采取必要措施的，由市场监督管理部门责令限期改正，可以处二万元以上十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电子商务平台经营者未按照《中华人民共和国电子商务法》的规定履行核验、登记义务的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二十七条电子商务平台经营者应当要求申请进入平台销售商品或者提供服务的经营者提交其身份、地址、联系方式、行政许可等真实信息，进行核验、登记，建立登记档案，并定期核验更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电子商务平台经营者为进入平台销售商品或者提供服务的非经营用户提供服务，应当遵守本节有关规定。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《中华人民共和国电子商务法》第八十条第一款　电子商务平台经营者有下列行为之一的，由有关主管部门责令限期改正；逾期不改正的，处二万元以上十万元以下的罚款；情节严重的，责令停业整顿，并处十万元以上五十万元以下的罚款：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（一）不履行本法第二十七条规定的核验、登记义务的；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电子商务平台经营者未按照《中华人民共和国电子商务法》的规定向市场监督管理部门报送平台内经营者身份信息的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二十八条第一款电子商务平台经营者应当按照规定向市场监督管理部门报送平台内经营者的身份信息，提示未办理市场主体登记的经营者依法办理登记，并配合市场监督管理部门，针对电子商务的特点，为应当办理市场主体登记的经营者办理登记提供便利。</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《中华人民共和国电子商务法》第八十条第一款　电子商务平台经营者有下列行为之一的，由有关主管部门责令限期改正；逾期不改正的，处二万元以上十万元以下的罚款；情节严重的，责令停业整顿，并处十万元以上五十万元以下的罚款：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（二）不按照本法第二十八条规定向市场监督管理部门、税务部门报送有关信息的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电子商务平台经营者未对《中华人民共和国电子商务法》第十二条、第十三条禁止的违法情形采取必要的处置措施，或者未向有关主管部门报告的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《中华人民共和国电子商务法》第二十九条　电子商务平台经营者发现平台内的商品或者服务信息存在违反本法第十二条、第十三条规定情形的，应当依法采取必要的处置措施，并向有关主管部门报告。</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十二条：电子商务经营者从事经营活动，依法需要取得相关行政许可的，应当依法取得行政许可。第十三条：电子商务经营者销售的商品或者提供的服务应当符合保障人身、财产安全的要求和环境保护要求，不得销售或者提供法律、行政法规禁止交易的商品或者服务。）</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《中华人民共和国电子商务法》第八十条第一款　电子商务平台经营者有下列行为之一的，由有关主管部门责令限期改正；逾期不改正的，处二万元以上十万元以下的罚款；情节严重的，责令停业整顿，并处十万元以上五十万元以下的罚款：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（三）不按照本法第二十九条规定对违法情形采取必要的处置措施，或者未向有关主管部门报告的；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电子商务平台经营者未履行《中华人民共和国电子商务法》第三十一条规定的商品和服务信息、交易信息保存义务的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《中华人民共和国电子商务法》第三十一条　电子商务平台经营者应当记录、保存平台上发布的商品和服务信息、交易信息，并确保信息的完整性、保密性、可用性。商品和服务信息、交易信息保存时间自交易完成之日起不少于三年；法律、行政法规另有规定的，依照其规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《中华人民共和国电子商务法》第八十条第一款　电子商务平台经营者有下列行为之一的，由有关主管部门责令限期改正；逾期不改正的，处二万元以上十万元以下的罚款；情节严重的，责令停业整顿，并处十万元以上五十万元以下的罚款：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（四）不履行本法第三十一条规定的商品和服务信息、交易信息保存义务的。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电子商务平台经营者对平台内经营者实施侵犯知识产权行为未按照《中华人民共和国电子商务法》规定采取必要措施的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《中华人民共和国电子商务法》第四十二条　知识产权权利人认为其知识产权受到侵害的，有权通知电子商务平台经营者采取删除、屏蔽、断开链接、终止交易和服务等必要措施。通知应当包括构成侵权的初步证据。</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电子商务平台经营者接到通知后，应当及时采取必要措施，并将该通知转送平台内经营者；未及时采取必要措施的，对损害的扩大部分与平台内经营者承担连带责任。</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因通知错误造成平台内经营者损害的，依法承担民事责任。恶意发出错误通知，造成平台内经营者损失的，加倍承担赔偿责任。</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第四十五条　电子商务平台经营者知道或者应当知道平台内经营者侵犯知识产权的，应当采取删除、屏蔽、断开链接、终止交易和服务等必要措施；未采取必要措施的，与侵权人承担连带责任。</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《中华人民共和国电子商务法》第八十四条　电子商务平台经营者违反本法第四十二条、第四十五条规定，对平台内经营者实施侵犯知识产权行为未依法采取必要措施的，由有关知识产权行政部门责令限期改正；逾期不改正的，处五万元以上五十万元以下的罚款；情节严重的，处五十万元以上二百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16</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网络交易平台经营者拒不为入驻的平台内经营者出具网络经营场所相关材料的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《网络交易监督管理办法》第十条　平台内经营者申请将网络经营场所登记为经营场所的，由其入驻的网络交易平台为其出具符合登记机关要求的网络经营场所相关材料。</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《网络交易监督管理办法》第四十条　网络交易平台经营者违反本办法第十条，拒不为入驻的平台内经营者出具网络经营场所相关材料的，由市场监督管理部门责令限期改正；逾期不改正的，处一万元以上三万元以下罚款。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网络交易经营者未以显著方式展示商品或者服务及其实际经营主体、售后服务等信息，或者上述信息的链接标识的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《网络交易监督管理办法》第二十条　通过网络社交、网络直播等网络服务开展网络交易活动的网络交易经营者，应当以显著方式展示商品或者服务及其实际经营主体、售后服务等信息，或者上述信息的链接标识。</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网络直播服务提供者对网络交易活动的直播视频保存时间自直播结束之日起不少于三年。</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《网络交易监督管理办法》第四十五条　网络交易经营者违反本办法第二十条，法律、行政法规有规定的，依照其规定；法律、行政法规没有规定的，由市场监督管理部门责令限期改正；逾期不改正的，处一万元以下罚款。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网络交易经营者未按照国家市场监督管理总局及其授权的省级市场监督管理部门的要求，提供特定时段、特定品类、特定区域的商品或者服务的价格、销量、销售额等数据信息的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《网络交易监督管理办法》第二十二条　网络交易经营者应当按照国家市场监督管理总局及其授权的省级市场监督管理部门的要求，提供特定时段、特定品类、特定区域的商品或者服务的价格、销量、销售额等数据信息。</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《网络交易监督管理办法》第四十六条　网络交易经营者违反本办法第二十二条的，由市场监督管理部门责令限期改正；逾期不改正的，处五千元以上三万元以下罚款。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平台经营者未以显著方式区分标记已办理市场主体登记的经营者和未办理市场主体登记的经营者的；修改平台服务协议和交易规则，未完整保存修改后的版本生效之日前三年的全部历史版本的；未能依据法律、法规、规章的规定或者平台服务协议和交易规则对平台内经营者违法行为采取警示、暂停或者终止服务等处理措施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《网络交易监督管理办法》第二十七条　网络交易平台经营者应当以显著方式区分标记已办理市场主体登记的经营者和未办理市场主体登记的经营者，确保消费者能够清晰辨认。</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第二十八条　网络交易平台经营者修改平台服务协议和交易规则的，应当完整保存修改后的版本生效之日前三年的全部历史版本，并保证经营者和消费者能够便利、完整地阅览和下载。</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第三十条　网络交易平台经营者依据法律、法规、规章的规定或者平台服务协议和交易规则对平台内经营者违法行为采取警示、暂停或者终止服务等处理措施的，应当自决定作出处理措施之日起一个工作日内予以公示，载明平台内经营者的网店名称、违法行为、处理措施等信息。警示、暂停服务等短期处理措施的相关信息应当持续公示至处理措施实施期满之日止。</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《网络交易监督管理办法》第四十八条　网络交易平台经营者违反本办法第二十七条、第二十八条、第三十条的，由市场监督管理部门责令限期改正；逾期不改正的，处一万元以上三万元以下罚款。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广告经营者、广告发布者未按照国家有关规定建立、健全广告业务管理制度的，或者未对广告内容进行核对的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《中华人民共和国广告法》第三十四条　广告经营者、广告发布者应当按照国家有关规定，建立、健全广告业务的承接登记、审核、档案管理制度。</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广告经营者、广告发布者依据法律、行政法规查验有关证明文件，核对广告内容。对内容不符或者证明文件不全的广告，广告经营者不得提供设计、制作、代理服务，广告发布者不得发布。</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《中华人民共和国广告法》第六十条第一款　违反本法第三十四条规定，广告经营者、广告发布者未按照国家有关规定建立、健全广告业务管理制度的，或者未对广告内容进行核对的，由市场监督管理部门责令改正，可以处五万元以下的罚款。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广告经营者、广告发布者未公布其收费标准和收费办法的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《中华人民共和国广告法》第三十五条广告经营者、广告发布者应当公布其收费标准和收费办法。</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《中华人民共和国广告法》第六十条第二款违反本法第三十五条规定，广告经营者、广告发布者未公布其收费标准和收费办法的，由价格主管部门责令改正，可以处五万元以下的罚款。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广告主发布广告使用“国家级”、“最高级”、“最佳”等用语的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《中华人民共和国广告法》第九条第三项广告不得有下列情形：（三）使用“国家级”、“最高级”、“最佳”等用语。</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五十七条第一项有下列行为之一的，由市场监督管理部门责令停止发布广告，对广告主处二十万元以上一百万元以下的罚款，情节严重的，并可以吊销营业执照，由广告审查机关撤销广告审查批准文件、一年内不受理其广告审查申请；对广告经营者、广告发布者，由市场监督管理部门没收广告费用，处二十万元以上一百万元以下的罚款，情节严重的，并可以吊销营业执照：</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（一）发布有本法第九条、第十条规定的禁止情形的广告的。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未在广告中标明广告引证内容出处的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1.广告引证内容合法有据，仅未在广告中表明出处，及时改正，没有造成危害后果的。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2.广告引证内容合法有据，仅未在广告中表明出处，初次违法，及时改正，危害后果轻微。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《中华人民共和国广告法》第十一条第二款广告使用数据、统计资料、调查结果、文摘、引用语等引证内容的，应当真实、准确，并表明出处。引证内容有适用范围和有效期限的，应当明确表示。</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《中华人民共和国广告法》第五十九条第一款第二项有下列行为之一的，由市场监督管理部门责令停止发布广告，对广告主处十万元以下的罚款：（二）广告引证内容违反本法第十一条规定的；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广告中涉及专利产品或者专利方法，未标明专利号和专利种类的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《中华人民共和国广告法》第十二条第一款广告中涉及专利产品或者专利方法的，应当标明专利号和专利种类。</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《中华人民共和国广告法》第五十九条第一款第三项有下列行为之一的，由市场监督管理部门责令停止发布广告，对广告主处十万元以下的罚款：</w:t>
            </w:r>
          </w:p>
          <w:p>
            <w:pPr>
              <w:spacing w:line="240" w:lineRule="auto"/>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（三）涉及专利的广告违反本法第十二条规定的。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发布房地产预售或者销售广告未载明预售或者销售许可证书号的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1.已取得预售或者销售许可证，仅未载明许可证书号，及时改正，没有造成危害后果的。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2.广告引证内容合法有据，仅未在广告中表明出处，初次违法，及时改正，危害后果轻微。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《房地产广告发布规定》第七条第一款 房地产预售、销售广告，必须载明以下事项：</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（一）开发企业名称；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（二）中介服务机构代理销售的，载明该机构名称；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（三）预售或者销售许可证书号。</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房地产广告发布规定》第二十一条 违反本规定发布广告，《广告法》及其他法律法规有规定的，依照有关法律法规规定予以处罚。法律法规没有规定的，对负有责任的广告主、广告经营者、广告发布者，处以违法所得三倍以下但不超过三万元的罚款；没有违法所得的，处以一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26</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发布农药广告未将批准文号列为广告内容同时发布的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1.取得农药广告批准文号且在有效期内，及时改正，没有造成危害后果的。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2.取得农药广告批准文号且在有效期内，初次违法，及时改正，危害后果轻微。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《农药广告审查发布规定》第十一条农药广告的批准文号应当列为广告内容同时发布。</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农药广告审查发布规定》第十三条违反本规定发布广告，《广告法》及其他法律法规有规定的，依照有关法律法规规定予以处罚。法律法规没有规定的，对负有责任的广告主、广告经营者、广告发布者，处以违法所得三倍以下但不超过三万元的罚款；没有违法所得的，处以一万元以下的罚款。</w:t>
            </w:r>
          </w:p>
          <w:p>
            <w:pPr>
              <w:spacing w:line="240" w:lineRule="auto"/>
              <w:rPr>
                <w:rFonts w:hint="eastAsia" w:ascii="仿宋_GB2312" w:hAnsi="仿宋_GB2312" w:eastAsia="仿宋_GB2312" w:cs="仿宋_GB2312"/>
                <w:color w:val="auto"/>
                <w:sz w:val="24"/>
                <w:szCs w:val="24"/>
              </w:rPr>
            </w:pPr>
          </w:p>
          <w:p>
            <w:pPr>
              <w:spacing w:line="240" w:lineRule="auto"/>
              <w:rPr>
                <w:rFonts w:hint="eastAsia" w:ascii="仿宋_GB2312" w:hAnsi="仿宋_GB2312" w:eastAsia="仿宋_GB2312" w:cs="仿宋_GB2312"/>
                <w:color w:val="auto"/>
                <w:sz w:val="24"/>
                <w:szCs w:val="24"/>
              </w:rPr>
            </w:pP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发布兽药广告未将批准文号列为广告内容同时发布的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1.取得兽药广告批准文号且在有效期内，及时改正，没有造成危害后果的。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2.取得兽药广告批准文号且在有效期内，初次违法，及时改正，危害后果轻微。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《兽药广告审查发布规定》第十条兽药广告的批准文号应当列为广告内容同时发布。</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《兽药广告审查发布规定》第十二条违反本规定发布广告，《广告法》及其他法律法规有规定的，依照有关法律法规规定予以处罚。法律法规没有规定的，对负有责任的广告主、</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"https://baike.baidu.com/item/%E5%B9%BF%E5%91%8A%E7%BB%8F%E8%90%A5%E8%80%85/5100969"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广告经营者</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color w:val="auto"/>
                <w:sz w:val="24"/>
                <w:szCs w:val="24"/>
              </w:rPr>
              <w:t>、广告发布者，处以违法所得三倍以下但不超过三万元的罚款；没有违法所得的，处以一万元以下的罚款。</w:t>
            </w:r>
          </w:p>
          <w:p>
            <w:pPr>
              <w:spacing w:line="240" w:lineRule="auto"/>
              <w:rPr>
                <w:rFonts w:hint="eastAsia" w:ascii="仿宋_GB2312" w:hAnsi="仿宋_GB2312" w:eastAsia="仿宋_GB2312" w:cs="仿宋_GB2312"/>
                <w:color w:val="auto"/>
                <w:sz w:val="24"/>
                <w:szCs w:val="24"/>
              </w:rPr>
            </w:pP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销售国家规定必须使用注册商标但未注册的商品的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《中华人民共和国商标法》第六条国家规定必须使用注册商标的商品，必须申请商标注册，未经核准注册的，不得在市场销售。</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商标法》第五十一条违反本法第六条规定的，由地方工商行政管理部门责令限期申请注册，违法经营额五万元以上的，可以处违法经营额百分之二十以下的罚款，没有违法经营额或者违法经营额不足五万元的，可以处一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被许可人未按规定在使用该注册商标的商品上标明被许可人的名称和商品产地的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《中华人民共和国商标法》第四十三条第二款经许可使用他人注册商标的，必须在使用该注册商标的商品上标明被许可人的名称和商品产地。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《中华人民共和国商标法实施条例》第七十一条　违反</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"https://www.faxin.cn/lib/Zyfl/javascript:void(0);"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商标法</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color w:val="auto"/>
                <w:sz w:val="24"/>
                <w:szCs w:val="24"/>
              </w:rPr>
              <w:t>第</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"https://www.faxin.cn/lib/Zyfl/javascript:void(0);"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四十三条</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color w:val="auto"/>
                <w:sz w:val="24"/>
                <w:szCs w:val="24"/>
              </w:rPr>
              <w:t>第二款规定的，由工商行政管理部门责令限期改正；逾期不改正的，责令停止销售，拒不停止销售的，处10万元以下的罚款。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集体商标、证明商标注册人没有对该商标的使用进行有效管理或者控制，致使该商标使用的商品达不到其使用管理规则的要求，对消费者造成损害的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《集体商标、证明商标注册和管理办法》第二十一条　集体商标、证明商标注册人没有对该商标的使用进行有效管理或者控制，致使该商标使用的商品达不到其使用管理规则的要求，对消费者造成损害的，由工商行政管理部门责令限期改正；拒不改正的，处以违法所得三倍以下的罚款，但最高不超过三万元；没有违法所得的，处以一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《集体商标、证明商标注册和管理办法》第二十一条　集体商标、证明商标注册人没有对该商标的使用进行有效管理或者控制，致使该商标使用的商品达不到其使用管理规则的要求，对消费者造成损害的，由工商行政管理部门责令限期改正；拒不改正的，处以违法所得三倍以下的罚款，但最高不超过三万元；没有违法所得的，处以一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生产经营的食品、食品添加剂的标签、说明书存在瑕疵但不影响食品安全且不会对消费者造成误导的（特殊食品除外）</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《中华人民共和国食品安全法》第七十一条　食品和食品添加剂的标签、说明书，不得含有虚假内容，不得涉及疾病预防、治疗功能。生产经营者对其提供的标签、说明书的内容负责。</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食品和食品添加剂的标签、说明书应当清楚、明显，生产日期、保质期等事项应当显著标注，容易辨识。</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食品和食品添加剂与其标签、说明书的内容不符的，不得上市销售。</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食品安全法》第一百二十五条第二款生产经营的食品、食品添加剂的标签、说明书存在瑕疵但不影响食品安全且不会对消费者造成误导的，由县级以上人民政府食品安全监督管理部门责令改正；拒不改正的，处二千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食品经营者未按规定公示相关不合格产品信息的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《食品安全抽样检验管理办法》第四十二条　食品经营者收到监督抽检不合格检验结论后，应当按照国家市场监督管理总局的规定在被抽检经营场所显著位置公示相关不合格产品信息。</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安全抽样检验管理办法》第四十七条第三款违反本办法第四十二条的规定，食品经营者未按规定公示相关不合格产品信息的，由市场监督管理部门责令改正；拒不改正的，给予警告，并处2000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食品生产者未按规定在生产场所的显著位置悬挂或者摆放食品生产许可证的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《食品生产许可管理办法》第三十一条第二款　食品生产者应当在生产场所的显著位置悬挂或者摆放食品生产许可证正本。</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《食品生产许可管理办法》第五十二条第二款　违反本办法第三十一条第二款规定，食品生产者未按规定在生产场所的显著位置悬挂或者摆放食品生产许可证的，由县级以上地方市场监督管理部门责令改正；拒不改正的，给予警告。</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食品生产者未按规定申请变更的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1.违法行为轻微，及时改正，没有造成危害后果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《食品生产许可管理办法》第三十二条第一款　食品生产许可证有效期内，食品生产者名称、现有设备布局和工艺流程、主要生产设备设施、食品类别等事项发生变化，需要变更食品生产许可证载明的许可事项的，食品生产者应当在变化后10个工作日内向原发证的市场监督管理部门提出变更申请。</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《食品生产许可管理办法》第五十三条第一款　第五十三条违反本办法第三十二条第一款规定，食品生产许可证有效期内，食品生产者名称、现有设备布局和工艺流程、主要生产设备设施等事项发生变化，需要变更食品生产许可证载明的许可事项，未按规定申请变更的，由原发证的市场监督管理部门责令改正，给予警告；拒不改正的，处1万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食品经营者未按规定在经营场所的显著位置悬挂或者摆放食品经营许可证的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《食品经营许可管理办法》第二十六条第二款　食品经营者应当在经营场所的显著位置悬挂或者摆放食品经营许可证正本。</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经营许可管理办法》第四十八条第二款违反本办法第二十六条第二款规定，食品经营者未按规定在经营场所的显著位置悬挂或者摆放食品经营许可证的，由县级以上地方食品药品监督管理部门责令改正；拒不改正的，给予警告。</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36</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食品经营者外设仓库地址发生变化，未按规定报告的；食品经营者终止食品经营，食品经营许可被撤回、撤销或者食品经营许可证被吊销，未按规定申请办理注销手续的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经营许可管理办法》第二十七条第二款经营场所发生变化的，应当重新申请食品经营许可。外设仓库地址发生变化的，食品经营者应当在变化后10个工作日内向原发证的食品药品监督管理部门报告。第三十六条第一款　食品经营者终止食品经营，食品经营许可被撤回、撤销或者食品经营许可证被吊销的，应当在30个工作日内向原发证的食品药品监督管理部门申请办理注销手续。</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经营许可管理办法》第四十九条第二款违反本办法第二十七条第二款规定或者第三十六条第一款规定，食品经营者外设仓库地址发生变化，未按规定报告的，或者食品经营者终止食品经营，食品经营许可被撤回、撤销或者食品经营许可证被吊销，未按规定申请办理注销手续的，由原发证的食品药品监督管理部门责令改正；拒不改正的，给予警告，并处2000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食品标识上未按规定标注应当标注的内容的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《食品标识管理规定》第六条　食品标识应当标注食品名称。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食品名称应当表明食品的真实属性，并符合下列要求：</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（一）国家标准、行业标准对食品名称有规定的，应当采用国家标准、行业标准规定的名称；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（二）国家标准、行业标准对食品名称没有规定的，应当使用不会引起消费者误解和混淆的常用名称或者俗名；</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三）标注“新创名称”、“奇特名称”、“音译名称”、“牌号名称”、“地区俚语名称”或者“商标名称”等易使人误解食品属性的名称时，应当在所示名称的邻近部位使用同一字号标注本条（一）、（二）项规定的一个名称或者分类（类属）名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（四）由两种或者两种以上食品通过物理混合而成且外观均匀一致难以相互分离的食品，其名称应当反映该食品的混合属性和分类（类属）名称；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五）以动、植物食物为原料，采用特定的加工工艺制作，用以模仿其他生物的个体、器官、组织等特征的食品，应当在名称前冠以“人造”、“仿”或者“素”等字样，并标注该食品真实属性的分类（类属）名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第七条食品标识应当标注食品的产地。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食品产地应当按照行政区划标注到地市级地域。</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第八条食品标识应当标注生产者的名称、地址和联系方式。生产者名称和地址应当是依法登记注册、能够承担产品质量责任的生产者的名称、地址。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有下列情形之一的，按照下列规定相应予以标注：</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（一）依法独立承担法律责任的公司或者其子公司，应当标注各自的名称和地址；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（二）依法不能独立承担法律责任的公司分公司或者公司的生产基地，应当标注公司和分公司或者生产基地的名称、地址，或者仅标注公司的名称、地址；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三）受委托生产加工食品且不负责对外销售的，应当标注委托企业的名称和地址；对于实施生产许可证管理的食品，委托企业具有其委托加工的食品生产许可证的，应当标注委托企业的名称、地址和被委托企业的名称，或者仅标注委托企业的名称和地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（四）分装食品应当标注分装者的名称及地址，并注明分装字样。</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第十一条　食品标识应当标注食品的成分或者配料清单。</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配料清单中各种配料应当按照生产加工食品时加入量的递减顺序进行标注，具体标注方法按照国家标准的规定执行。</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在食品中直接使用甜味剂、防腐剂、着色剂的，应当在配料清单食品添加剂项下标注具体名称；使用其他食品添加剂的，可以标注具体名称、种类或者代码。食品添加剂的使用范围和使用量应当按照国家标准的规定执行。</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专供婴幼儿和其他特定人群的主辅食品，其标识还应当标注主要营养成分及其含量。</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第十二条　食品标识应当标注企业所执行的产品标准代号。</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第十三条　食品执行的标准明确要求标注食品的质量等级、加工工艺的，应当相应地予以标明。</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《食品标识管理规定》第二十七条　违反本规定第六条至第八条、第十一条至第十三条，未按规定标注应当标注内容的，责令限期改正；逾期不改的，处以500元以上1万元以下罚款。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食品标识上未按规定标注食品营养素、热量以及定量标示的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《食品标识管理规定》第十七条　食品在其名称或者说明中标注“营养”、“强化”字样的，应当按照国家标准有关规定，标注该食品的营养素和热量，并符合国家标准规定的定量标示。</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《食品标识管理规定》第三十条　违反本规定第十七条，未按规定标注食品营养素、热量以及定量标示的，责令限期改正；逾期不改的，处以5000元以下罚款。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网络食品交易第三方平台提供者和通过自建网站交易的食品生产经营者未履行相应备案义务的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《网络食品安全违法行为查处办法》第八条网络食品交易第三方平台提供者应当在通信主管部门批准后30个工作日内，向所在地省级食品药品监督管理部门备案，取得备案号</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通过自建网站交易的食品生产经营者应当在通信主管部门批准后30个工作日内，向所在地市、县级食品药品监督管理部门备案，取得备案号。</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二十九条违反本办法第八条规定，网络食品交易第三方平台提供者和通过自建网站交易的食品生产经营者未履行相应备案义务的，由县级以上地方食品药品监督管理部门责令改正，给予警告；拒不改正的，处5000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网络食品交易第三方平台提供者未按要求建立入网食品生产经营者审查登记、食品安全自查、食品安全违法行为制止及报告、严重违法行为平台服务停止、食品安全投诉举报处理等制度的或者未公开以上制度的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十条网络食品交易第三方平台提供者应当建立入网食品生产经营者审查登记、食品安全自查、食品安全违法行为制止及报告、严重违法行为平台服务停止、食品安全投诉举报处理等制度，并在网络平台上公开。</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三十一条违反本办法第十条规定，网络食品交易第三方平台提供者未按要求建立入网食品生产经营者审查登记、食品安全自查、食品安全违法行为制止及报告、严重违法行为平台服务停止、食品安全投诉举报处理等制度的或者未公开以上制度的，由县级以上地方食品药品监督管理部门责令改正，给予警告；拒不改正的，处5000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网络食品交易第三方平台提供者未建立入网食品生产经营者档案、记录入网食品生产经营者相关信息的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《网络食品安全违法行为查处办法》第十二条网络食品交易第三方平台提供者应当建立入网食品生产经营者档案，记录入网食品生产经营者的基本情况、食品安全管理人员等信息。</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三十三条违反本办法第十二条规定，网络食品交易第三方平台提供者未建立入网食品生产经营者档案、记录入网食品生产经营者相关信息的，由县级以上地方食品药品监督管理部门责令改正，给予警告；拒不改正的，处5000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网络食品交易第三方平台提供者未按要求记录、保存食品交易信息的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《网络食品安全违法行为查处办法》第十三条网络食品交易第三方平台提供者和通过自建网站交易食品的生产经营者应当记录、保存食品交易信息，保存时间不得少于产品保质期满后 6个月；没有明确保质期的，保存时间不得少于2 年。</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三十四条违反本办法第十三条规定，网络食品交易第三方平台提供者未按要求记录、保存食品交易信息的，由县级以上地方食品药品监督管理部门责令改正，给予警告；拒不改正的，处5000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网络食品交易第三方平台提供者未设置专门的网络食品安全管理机构或者指定专职食品安全管理人员对平台上的食品安全经营行为及信息进行检查的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《网络食品安全违法行为查处办法》第十四条网络食品交易第三方平台提供者应当设置专门的网络食品安全管理机构或者指定专职食品安全管理人员，对平台上的食品经营行为及信息进行检查。</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三十五条违反本办法第十四条规定，网络食品交易第三方平台提供者未设置专门的网络食品安全管理机构或者指定专职食品安全管理人员对平台上的食品安全经营行为及信息进行检查的，由县级以上地方食品药品监督管理部门责令改正，给予警告；拒不改正的，处5000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入网食品生产经营者未按要求进行信息公示的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十八条通过第三方平台进行交易的食品生产经营者应当在其经营活动主页面显著位置公示其食品生产经营许可证。通过自建网站交易的食品生产经营者应当在其网站首页显著位置公示营业执照、食品生产经营许可证。</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餐饮服务提供者还应当同时公示其餐饮服务食品安全监督量化分级管理信息。相关信息应当画面清晰，容易辨识。</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网络食品安全违法行为查处办法》第四十条违反本办法第十八条规定，入网食品生产经营者未按要求进行信息公示的，由县级以上地方食品药品监督管理部门责令改正，给予警告；拒不改正的，处5000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从事对温度、湿度等有特殊要求的食品贮存业务的非食品生产经营者，食品集中交易市场的开办者、食品展销会的举办者，未按照规定备案或者报告的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食品安全法实施条例》第二十五条第三款非食品生产经营者从事对温度、湿度等有特殊要求的食品贮存业务的，应当自取得营业执照之日起30个工作日内向所在地县级人民政府食品安全监督管理部门备案。</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食品安全法实施条例》第七十二条从事对温度、湿度等有特殊要求的食品贮存业务的非食品生产经营者，食品集中交易市场的开办者、食品展销会的举办者，未按照规定备案或者报告的，由县级以上人民政府食品安全监督管理部门责令改正，给予警告；拒不改正的，处1万元以上5万元以下罚款；情节严重的，责令停产停业，并处5万元以上20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46</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食品小作坊违反《内蒙古自治区食品生产加工小作坊和食品摊贩管理条例》第十六条规定从事食品生产加工的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《内蒙古自治区食品生产加工小作坊和食品摊贩管理条例》第十六条　食品小作坊应当遵守下列规定：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（一）生产加工食品所使用的原料、食品添加剂符合国家食品安全规定和有关食品安全标准；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（二）建立进货记录台账，如实记录食品原料、食品添加剂名称、规格、数量、供货者名称以及联系方式、进货日期。台账保留期限不少于两年；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（三）建立食品生产加工记录制度，如实记录生产加工中原辅料投放数量、生产日期，食品添加剂的名称、使用量、使用人等内容。记录资料保存期限不少于两年；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（四）生产带有简易包装的食品应当附带标明生产者名称、地址、规格、生产日期、保质期等信息的标签；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（五）从事食品生产加工的人员穿戴清洁的工作衣帽、口罩，保持个人卫生；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（六）用水符合国家规定的生活饮用水卫生标准；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（七）食品添加剂存放在单独的设施中；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（八）生产加工区域与生活区域分离，生、熟食品加工用具、容器分开使用；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（九）保持运输食品的车辆和装卸食品的设备、容器清洁卫生，不得将食品与有毒、有害物品一同运输。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《内蒙古自治区食品生产加工小作坊和食品摊贩管理条例》第三十三条　食品小作坊违反本条例第十六条规定从事食品生产加工的，由食品药品监督管理部门责令限期改正；逾期不改正的，处2000元以上1万元以下罚款。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食品摊贩违反《内蒙古自治区食品生产加工小作坊和食品摊贩管理条例》第十九条规定的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《内蒙古自治区食品生产加工小作坊和食品摊贩管理条例》第十九条　食品摊贩从事经营活动应当符合下列要求：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（一）配有防雨、防尘、防虫、防蝇、防鼠、防污染等设施以及密闭的废弃物容器；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（二）待加工食品与直接入口食品、原料与成品分开存放，避免食品接触有毒物、不洁物；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（三）用水符合国家规定的生活饮用水卫生标准；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（四）贮存、运输和装卸食品的容器、工具和设备无毒、无害、清洁卫生；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（五）销售食品使用无毒、无害、清洁的包装材料；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（六）购进食品的票据凭证保留期限不少于一年。</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《内蒙古自治区食品生产加工小作坊和食品摊贩管理条例》第三十六条食品摊贩违反本条例第十九条规定的，由食品药品监督管理部门责令限期改正；逾期不改正的，处以300元以上500元以下罚款。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食品摊贩违反《内蒙古自治区食品生产加工小作坊和食品摊贩管理条例》第二十条规定的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《内蒙古自治区食品生产加工小作坊和食品摊贩管理条例》第二十条　现做现售、提供餐饮服务的摊贩在食品经营中除应当符合本条例第十九条规定外，还应当符合下列要求：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（一）具有符合食品卫生条件的制作食品和售货的亭、棚、车、台等设施；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（二）接触食品的器具、工作台面以及货架、橱柜符合食品卫生条件；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（三）使用的餐具做到彻底清洗、消毒；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（四）使用的洗涤剂、消毒剂对人体安全、无害，杀虫剂、灭鼠剂等应当妥善保管，不得在食品经营现场存放；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（五）食品经营人员应当穿戴清洁的工作衣帽、口罩，保持个人卫生。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《内蒙古自治区食品生产加工小作坊和食品摊贩管理条例》第三十七条食品摊贩违反本条例第二十条规定的，由食品药品监督管理部门责令限期改正；逾期不改正的，处以500元以上1000元以下罚款。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49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监督抽查的产品质量不合格的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产品质量法》第十七条依照本法规定进行监督抽查的产品质量不合格的，由实施监督抽查的市场监督管理部门责令其生产者、销售者限期改正。逾期不改正的，由省级以上人民政府市场监督管理部门予以公告；公告后经复查仍不合格的，责令停业，限期整顿；整顿期满后经复查产品质量仍不合格的，吊销营业执照。</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产品质量法》第十七条依照本法规定进行监督抽查的产品质量不合格的，由实施监督抽查的市场监督管理部门责令其生产者、销售者限期改正。逾期不改正的，由省级以上人民政府市场监督管理部门予以公告；公告后经复查仍不合格的，责令停业，限期整顿；整顿期满后经复查产品质量仍不合格的，吊销营业执照。</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取得生产许可证的企业名称发生变化，未依照本条例规定办理变更手续的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《中华人民共和国工业产品生产许可证管理条例》第二十九条　企业名称发生变化的，企业应当及时向企业所在地的省、自治区、直辖市工业产品生产许可证主管部门提出申请，办理变更手续。</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工业产品生产许可证管理条例》第四十六条第二款取得生产许可证的企业名称发生变化，未依照本条例规定办理变更手续的，责令限期办理相关手续；逾期仍未办理的，责令停止生产、销售，没收违法生产、销售的产品，并处违法生产、销售产品货值金额等值以下的罚款；有违法所得的，没收违法所得。</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取得生产许可证的企业未依照本条例规定在产品、包装或者说明书上标注生产许可证标志和编号的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《中华人民共和国工业产品生产许可证管理条例》第三十三条第一款　企业必须在其产品或者包装、说明书上标注生产许可证标志和编号。</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《中华人民共和国工业产品生产许可证管理条例》第四十七条　取得生产许可证的企业未依照本条例规定在产品、包装或者说明书上标注生产许可证标志和编号的，责令限期改正；逾期仍未改正的，处违法生产、销售产品货值金额30％以下的罚款；有违法所得的，没收违法所得；情节严重的，吊销生产许可证。</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取得生产许可证的企业未依照本条例规定定期向省、自治区、直辖市工业产品生产许可证主管部门提交报告的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《中华人民共和国工业产品生产许可证管理条例》第三十八条　企业应当保证产品质量稳定合格，并定期向省、自治区、直辖市工业产品生产许可证主管部门提交报告。企业对报告的真实性负责。</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《中华人民共和国工业产品生产许可证管理条例》第五十三条　取得生产许可证的企业未依照本条例规定定期向省、自治区、直辖市工业产品生产许可证主管部门提交报告的，由省、自治区、直辖市工业产品生产许可证主管部门责令限期改正；逾期未改正的，处5000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食盐零售单位销售散装食盐，或者餐饮服务提供者采购、贮存、使用散装食盐的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《食盐质量安全监督管理办法》第八条第二款禁止食盐零售单位销售散装食盐，禁止餐饮服务提供者采购、贮存、使用散装食盐。</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《食盐质量安全监督管理办法》第二十四条　违反本办法第八条第二款，食盐零售单位销售散装食盐，或者餐饮服务提供者采购、贮存、使用散装食盐的，由县级以上市场监督管理部门责令改正；拒不改正的，给予警告，并处5000元以上3万元以下罚款。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未加碘食盐的标签未在显著位置标注“未加碘”字样的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《食盐质量安全监督管理办法》第九条第三款未加碘食盐的标签应当在显著位置标注“未加碘”字样。</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食盐质量安全监督管理办法》第二十五条第二款违反本办法第九条第三款，未加碘食盐的标签未在显著位置标注“未加碘”字样的，由县级以上市场监督管理部门责令改正；拒不改正的，给予警告，并处5000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棉花经营者不按照国家标准和技术规范排除异性纤维和其他有害物质后确定所收购棉花的类别、等级、数量，或者对所收购的超出国家规定水分标准的棉花不进行技术处理的；对所收购的棉花不分类别、等级置放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《棉花质量监督管理条例》第七条第二款、第三款　棉花经营者收购棉花时，应当按照国家标准和技术规范，排除异性纤维和其他有害物质后确定所收购棉花的类别、等级、数量；所收购的棉花超出国家规定水分标准的，应当进行晾晒、烘干等技术处理，保证棉花质量。</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棉花经营者应当分类别、分等级置放所收购的棉花。</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《棉花质量监督管理条例》第二十四条　棉花经营者收购棉花，违反本条例第七条第二款、第三款的规定，不按照国家标准和技术规范排除异性纤维和其他有害物质后确定所收购棉花的类别、等级、数量，或者对所收购的超出国家规定水分标准的棉花不进行技术处理，或者对所收购的棉花不分类别、等级置放的，由棉花质量监督机构责令改正，可以处3万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p>
          <w:p>
            <w:pPr>
              <w:spacing w:line="240" w:lineRule="auto"/>
              <w:jc w:val="center"/>
              <w:rPr>
                <w:rFonts w:hint="eastAsia" w:ascii="仿宋_GB2312" w:hAnsi="仿宋_GB2312" w:eastAsia="仿宋_GB2312" w:cs="仿宋_GB2312"/>
                <w:color w:val="auto"/>
                <w:sz w:val="24"/>
                <w:szCs w:val="24"/>
              </w:rPr>
            </w:pPr>
          </w:p>
          <w:p>
            <w:pPr>
              <w:spacing w:line="240" w:lineRule="auto"/>
              <w:jc w:val="center"/>
              <w:rPr>
                <w:rFonts w:hint="eastAsia" w:ascii="仿宋_GB2312" w:hAnsi="仿宋_GB2312" w:eastAsia="仿宋_GB2312" w:cs="仿宋_GB2312"/>
                <w:color w:val="auto"/>
                <w:sz w:val="24"/>
                <w:szCs w:val="24"/>
              </w:rPr>
            </w:pPr>
          </w:p>
          <w:p>
            <w:pPr>
              <w:spacing w:line="240" w:lineRule="auto"/>
              <w:jc w:val="center"/>
              <w:rPr>
                <w:rFonts w:hint="eastAsia" w:ascii="仿宋_GB2312" w:hAnsi="仿宋_GB2312" w:eastAsia="仿宋_GB2312" w:cs="仿宋_GB2312"/>
                <w:color w:val="auto"/>
                <w:sz w:val="24"/>
                <w:szCs w:val="24"/>
              </w:rPr>
            </w:pPr>
          </w:p>
          <w:p>
            <w:pPr>
              <w:spacing w:line="240" w:lineRule="auto"/>
              <w:jc w:val="center"/>
              <w:rPr>
                <w:rFonts w:hint="eastAsia" w:ascii="仿宋_GB2312" w:hAnsi="仿宋_GB2312" w:eastAsia="仿宋_GB2312" w:cs="仿宋_GB2312"/>
                <w:color w:val="auto"/>
                <w:sz w:val="24"/>
                <w:szCs w:val="24"/>
              </w:rPr>
            </w:pPr>
          </w:p>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56</w:t>
            </w:r>
          </w:p>
        </w:tc>
        <w:tc>
          <w:tcPr>
            <w:tcW w:w="814" w:type="pct"/>
            <w:vAlign w:val="center"/>
          </w:tcPr>
          <w:p>
            <w:pPr>
              <w:spacing w:line="240" w:lineRule="auto"/>
              <w:rPr>
                <w:rFonts w:hint="eastAsia" w:ascii="仿宋_GB2312" w:hAnsi="仿宋_GB2312" w:eastAsia="仿宋_GB2312" w:cs="仿宋_GB2312"/>
                <w:color w:val="auto"/>
                <w:sz w:val="24"/>
                <w:szCs w:val="24"/>
              </w:rPr>
            </w:pPr>
          </w:p>
          <w:p>
            <w:pPr>
              <w:spacing w:line="240" w:lineRule="auto"/>
              <w:rPr>
                <w:rFonts w:hint="eastAsia" w:ascii="仿宋_GB2312" w:hAnsi="仿宋_GB2312" w:eastAsia="仿宋_GB2312" w:cs="仿宋_GB2312"/>
                <w:color w:val="auto"/>
                <w:sz w:val="24"/>
                <w:szCs w:val="24"/>
              </w:rPr>
            </w:pPr>
          </w:p>
          <w:p>
            <w:pPr>
              <w:spacing w:line="240" w:lineRule="auto"/>
              <w:rPr>
                <w:rFonts w:hint="eastAsia" w:ascii="仿宋_GB2312" w:hAnsi="仿宋_GB2312" w:eastAsia="仿宋_GB2312" w:cs="仿宋_GB2312"/>
                <w:color w:val="auto"/>
                <w:sz w:val="24"/>
                <w:szCs w:val="24"/>
              </w:rPr>
            </w:pPr>
          </w:p>
          <w:p>
            <w:pPr>
              <w:spacing w:line="240" w:lineRule="auto"/>
              <w:rPr>
                <w:rFonts w:hint="eastAsia" w:ascii="仿宋_GB2312" w:hAnsi="仿宋_GB2312" w:eastAsia="仿宋_GB2312" w:cs="仿宋_GB2312"/>
                <w:color w:val="auto"/>
                <w:sz w:val="24"/>
                <w:szCs w:val="24"/>
              </w:rPr>
            </w:pP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在公益活动中违反《纤维制品质量监督管理办法》第七条的规定的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《纤维制品质量监督管理办法》第七条   禁止生产、销售以及在经营性服务或者公益活动中使用下列纤维制品：</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（一）不符合保障人体健康和人身、财产安全的国家标准、行业标准的；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（二）掺杂、掺假，以假充真，以次充好的；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（三）以不合格产品冒充合格产品的；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（四）伪造、冒用质量标志或者其他质量证明文件的；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（五）伪造产地，伪造或者冒用他人的厂名、厂址的。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《纤维制品质量监督管理办法》第三十条第三款在公益活动中违反本办法第七条规定的，责令改正；逾期未改或改正后仍不符合要求的，处一千元以下罚款。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学生服使用单位未履行检查验收和记录义务或未按规定委托送检的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《纤维制品质量监督管理办法》第十九条   学生服使用单位应当提供质量合格的学生服。</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学生服使用单位应当履行检查验收和记录义务，验明并留存产品出厂检验报告，确认产品标识符合国家规定要求。</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学生服使用单位应当委托具有法定资质的检验检测机构对学生服进行检验。</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《纤维制品质量监督管理办法》第三十四条   学生服使用单位违反本办法第十九条，未履行检查验收和记录义务或未按规定委托送检的，责令改正，并处以一万元以下罚款。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特种设备安装、改造、修理的施工单位在施工前未书面告知负责特种设备安全监督管理的部门即行施工的；在验收后三十日内未将相关技术资料和文件移交特种设备使用单位的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特种设备安全法》第二十三条特种设备安装、改造、修理的施工单位应当在施工前将拟进行的特种设备安装、改造、修理情况书面告知直辖市或者设区的市级人民政府负责特种设备安全监督管理的部门。</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第二十四条特种设备安装、改造、修理竣工后，安装、改造、修理的施工单位应当在验收后三十日内将相关技术资料和文件移交特种设备使用单位。特种设备使用单位应当将其存入该特种设备的安全技术档案。</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特种设备安全法》第七十八条违反本法规定，特种设备安装、改造、修理的施工单位在施工前未书面告知负责特种设备安全监督管理的部门即行施工的，或者在验收后三十日内未将相关技术资料和文件移交特种设备使用单位的，责令限期改正；逾期未改正的，处一万元以上十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特种设备使用单位使用特种设备未按照规定办理使用登记的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特种设备安全法》第三十三条特种设备使用单位应当在特种设备投入使用前或者投入使用后三十日内，向负责特种设备安全监督管理的部门办理使用登记，取得使用登记证书。登记标志应当置于该特种设备的显著位置。</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《中华人民共和国特种设备安全法》第八十三条违反本法规定，特种设备使用单位有下列行为之一的，责令限期改正；逾期未改正的，责令停止使用有关特种设备，处一万元以上十万元以下罚款：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（一）使用特种设备未按照规定办理使用登记的；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特种设备生产、经营、使用单位或者检验、检测机构拒不接受负责特种设备安全监督管理的部门依法实施的监督检查的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《中华人民共和国特种设备安全法》第六十一条 负责特种设备安全监督管理的部门在依法履行监督检查职责时，可以行使下列职权：</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（一）进入现场进行检查，向特种设备生产、经营、使用单位和检验、检测机构的主要负责人和其他有关人员调查、了解有关情况；</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特种设备安全法》第九十五条第一款违反本法规定，特种设备生产、经营、使用单位或者检验、检测机构拒不接受负责特种设备安全监督管理的部门依法实施的监督检查的，责令限期改正；逾期未改正的，责令停产停业整顿，处二万元以上二十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建设单位未向使用管理责任单位移交完整的安全技术档案、警示标志或者电梯使用标志的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《内蒙古自治区电梯安全管理办法》第十三条   建设单位应当履行下列职责：</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（六）建设单位与电梯使用管理责任单位不一致的，建设单位向电梯使用管理责任单位移交的电梯，应当符合安全技术规范，同时移交完整的安全技术档案、安全使用的警示标志以及电梯使用标志。</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《内蒙古自治区电梯安全管理办法》第五十四条   违反本办法第十三条第六项规定，建设单位未向使用管理责任单位移交完整的安全技术档案、警示标志或者电梯使用标志的，由旗县级人民政府特种设备安全监督管理部门责令改正；逾期未改正的，处以1000元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电梯使用管理责任单位未配备电梯远程监测和应急救援信息系统的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《内蒙古自治区电梯安全管理办法》第二十六条   乘客电梯使用管理责任单位应当配备电梯远程监测和应急救援信息系统。电梯远程监测系统应当满足电子记录故障、维护保养、检验、检测与应急救援的需要。</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《内蒙古自治区电梯安全管理办法》第五十七条   违反本办法第二十六条规定，电梯使用管理责任单位未配备电梯远程监测和应急救援信息系统的，由旗县级以上人民政府特种设备安全监督管理部门责令改正；逾期未改正的，处以1000元罚款。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认证机构以委托人未参加认证咨询或者认证培训等为理由，拒绝提供本认证机构业务范围内的认证服务，或者向委托人提出与认证活动无关的要求或者限制条件的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《中华人民共和国认证认可条例》第十九条　认证机构不得以委托人未参加认证咨询或者认证培训等为理由，拒绝提供本认证机构业务范围内的认证服务，也不得向委托人提出与认证活动无关的要求或者限制条件。</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《中华人民共和国认证认可条例》第六十条　认证机构有下列情形之一的，责令限期改正；逾期未改正的，处2万元以上10万元以下的罚款：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（一）以委托人未参加认证咨询或者认证培训等为理由，拒绝提供本认证机构业务范围内的认证服务，或者向委托人提出与认证活动无关的要求或者限制条件的；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认证机构自行制定的认证标志的式样、文字和名称，与国家推行的认证标志相同或者近似，或者妨碍社会管理，或者有损社会道德风尚的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《中华人民共和国认证认可条例》第二十五条　认证机构可以自行制定认证标志。认证机构自行制定的认证标志的式样、文字和名称，不得违反法律、行政法规的规定，不得与国家推行的认证标志相同或者近似，不得妨碍社会管理，不得有损社会道德风尚。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《中华人民共和国认证认可条例》第六十条　认证机构有下列情形之一的，责令限期改正；逾期未改正的，处2万元以上10万元以下的罚款：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（二）自行制定的认证标志的式样、文字和名称，与国家推行的认证标志相同或者近似，或者妨碍社会管理，或者有损社会道德风尚的；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认证机构未公开认证基本规范、认证规则、收费标准等信息的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《中华人民共和国认证认可条例》第二十条　认证机构应当公开认证基本规范、认证规则、收费标准等信息。</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《中华人民共和国认证认可条例》第六十条　认证机构有下列情形之一的，责令限期改正；逾期未改正的，处2万元以上10万元以下的罚款：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（三）未公开认证基本规范、认证规则、收费标准等信息的；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66</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认证机构未对认证过程作出完整记录，归档留存的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《中华人民共和国认证认可条例》第四十三条　认可机构应当在公布的时间内，按照国家标准和国务院认证认可监督管理部门的规定，完成对认证机构、检查机构、实验室的评审，作出是否给予认可的决定，并对认可过程作出完整记录，归档留存。认可机构应当确保认可的客观公正和完整有效，并对认可结论负责。</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《中华人民共和国认证认可条例》第六十条　认证机构有下列情形之一的，责令限期改正；逾期未改正的，处2万元以上10万元以下的罚款：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（四）未对认证过程作出完整记录，归档留存的；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认证机构未及时向其认证的委托人出具认证证书的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《中华人民共和国认证认可条例》第二十三条　认证结论为产品、服务、管理体系符合认证要求的，认证机构应当及时向委托人出具认证证书。</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《中华人民共和国认证认可条例》第六十条　认证机构有下列情形之一的，责令限期改正；逾期未改正的，处2万元以上10万元以下的罚款：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（五）未及时向其认证的委托人出具认证证书的。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认证机构以及与认证有关的检查机构、实验室未对与认证有关的检查、检测过程作出完整记录，归档留存的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《中华人民共和国认证认可条例》第二十一条第二款认证机构以及与认证有关的检查机构、实验室应当对认证、检查、检测过程作出完整记录，归档留存。</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《中华人民共和国认证认可条例》第六十条认证机构有下列情形之一的，责令限期改正；逾期未改正的，处2万元以上10万元以下的罚款：……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与认证有关的检查机构、实验室未对与认证有关的检查、检测过程作出完整记录，归档留存的，依照前款规定处罚。</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混淆使用认证证书和认证标志的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《认证证书和认证标志管理办法》第十二条　不得利用产品认证证书和相关文字、符号误导公众认为其服务、管理体系通过认证；不得利用服务认证证书和相关文字、符号误导公众认为其产品、管理体系通过认证；不得利用管理体系认证证书和相关文字、符号，误导公众认为其产品、服务通过认证。</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《认证证书和认证标志管理办法》第二十五条第一款　违反本办法第十二条规定，对混淆使用认证证书和认证标志的，地方认证监督管理部门应当责令其限期改正，逾期不改的处以2万元以下罚款。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认证机构未按规定向社会公布相关信息的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《认证证书和认证标志管理办法》第十六条　认证机构应当向社会公布认证标志的式样（包括使用的符号）、文字、名称、应用范围、识别方法、使用方法等信息。</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第二十三条　认证机构应当公布本机构认证证书和认证标志使用等相关信息，以便于公众进行查询和社会监督。</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《认证证书和认证标志管理办法》第三十条　认证机构违反本办法第十六条、第二十三条规定，未向社会公布相关信息的，责令限期改正；逾期不改的，予以警告。</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获证产品及其销售包装上标注的认证证书所含内容与认证证书内容不一致的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《强制性产品认证管理规定》第二十三条　获证产品及其销售包装上标注认证证书所含内容的，应当与认证证书的内容相一致，并符合国家有关产品标识标注管理规定。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《强制性产品认证管理规定》第五十五条　有下列情形之一的，由地方质检两局责令其限期改正，逾期未改正的，处2万元以下罚款。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（一）违反本规定第二十三条规定，获证产品及其销售包装上标注的认证证书所含内容与认证证书内容不一致的；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未按照《强制性产品认证管理规定》第三十二条规定使用认证标志的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《强制性产品认证管理规定》第三十二条　认证委托人应当建立认证标志使用管理制度，对认证标志的使用情况如实记录和存档，按照认证规则规定在产品及其包装、广告、产品介绍等宣传材料中正确使用和标注认证标志。</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《强制性产品认证管理规定》第五十五条　有下列情形之一的，由地方质检两局责令其限期改正，逾期未改正的，处2万元以下罚款。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（二）违反本规定第三十二条规定，未按照规定使用认证标志的。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认证机构增加、减少、遗漏程序要求，情节轻微且不影响认证结论的客观、真实或者认证有效性的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《认证机构管理办法》第十六条　认证机构从事认证活动，应当符合认证基本规范、认证规则规定的程序要求，确保认证过程完整、客观、真实，不得增加、减少或者遗漏程序要求。</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《认证机构管理办法》第三十九条第二款　认证机构增加、减少、遗漏程序要求，情节轻微且不影响认证结论的客观、真实或者认证有效性的，应当责令其限期改正。逾期未改正或者经改正仍不符合要求的，依照前款规定进行处罚。</w:t>
            </w:r>
          </w:p>
        </w:tc>
        <w:tc>
          <w:tcPr>
            <w:tcW w:w="561" w:type="pct"/>
            <w:vAlign w:val="center"/>
          </w:tcPr>
          <w:p>
            <w:pPr>
              <w:spacing w:line="240" w:lineRule="auto"/>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未按照《检验检测机构资质认定管理办法》第十四条规定办理变更手续的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《检验检测机构资质认定管理办法》第十四条　有下列情形之一的，检验检测机构应当向资质认定部门申请办理变更手续：</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（一）机构名称、地址、法人性质发生变更的；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（二）法定代表人、最高管理者、技术负责人、检验检测报告授权签字人发生变更的；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（三）资质认定检验检测项目取消的；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（四）检验检测标准或者检验检测方法发生变更的；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（五）依法需要办理变更的其他事项。</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检验检测机构申请增加资质认定检验检测项目或者发生变更的事项影响其符合资质认定条件和要求的，依照本办法第十条规定的程序实施。</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《检验检测机构资质认定管理办法》第三十五条　检验检测机构有下列情形之一的，由县级以上市场监督管理部门责令限期改正；逾期未改正或者改正后仍不符合要求的，处1万元以下罚款。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（一）未按照本办法第十四条规定办理变更手续的；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检验检测机构向社会出具具有证明作用的检验检测数据、结果，未在其检验检测报告上标注资质认定标志的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《检验检测机构资质认定管理办法》第二十一条　检验检测机构向社会出具具有证明作用的检验检测数据、结果的，应当在其检验检测报告上标注资质认定标志。</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《检验检测机构资质认定管理办法》第三十五条　检验检测机构有下列情形之一的，由县级以上市场监督管理部门责令限期改正；逾期未改正或者改正后仍不符合要求的，处1万元以下罚款。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（二）未按照本办法第二十一条规定标注资质认定标志的。</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76</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使用非法定计量单位的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《中华人民共和国计量法实施细则》第二条国家实行法定计量单位制度。国家法定计量单位的名称、符号和非国家法定计量单位的废除办法，按照国务院关于在我国统一实行法定计量单位的有关规定执行。</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《中华人民共和国计量法实施细则》第四十条　违反本细则第二条规定，使用非</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"javascript:void(0);"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法定计量单位</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color w:val="auto"/>
                <w:sz w:val="24"/>
                <w:szCs w:val="24"/>
              </w:rPr>
              <w:t>的，责令其改正；属出版物的，责令其停止销售，可并处1000元以下的罚款。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个体工商户制造、修理国家规定范围以外的计量器具或者不按照规定场所从事经营活动的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《中华人民共和国计量法实施细则》第十四条制造、修理计量器具的企业、事业单位和个体工商户须在固定的场所从事经营，具有符合国家规定的生产设施、检验条件、技术人员等，并满足安全要求。</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《中华人民共和国计量法实施细则》第四十九条个体工商户制造、修理国家规定范围以外的计量器具或者不按照规定场所从事经营活动的，责令其停止制造、修理，没收全部违法所得，可并处以500元以下的罚款。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集市主办者未对集市使用的属于强制检定的计量器具登记造册的，未向当地市场监督管理部门备案，并配合市场监督管理部门及其指定的法定计量检定机构做好强制检定工作的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《集贸市场计量监督管理办法》第五条　集市主办者应当做到：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（四）对集市使用的属于强制检定的计量器具登记造册，向当地市场监督管理部门备案，并配合市场监督管理部门及其指定的法定计量检定机构做好强制检定工作。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《集贸市场计量监督管理办法》第十一条第一款　集市主办者违反本办法第五条第（四）项规定的，责令改正，逾期不改的，处以1000元以下的罚款。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经营者应当使用计量器具测量量值而未使用计量器具的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《集贸市场计量监督管理办法》第六条　经营者应当做到：</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凡以商品量的量值作为结算依据的，应当使用计量器具测量量值；计量偏差在国家规定的范围内，结算值与实际值相符。不得估量计费。不具备计量条件并经交易当事人同意的除外。</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贸市场计量监督管理办法》第十二条第三款经营者违反本办法第六条第（四）项规定，应当使用计量器具测量量值而未使用计量器具的，限期改正；逾期不改的，处以1000元以下罚款。经营者销售商品的结算值与实际值不相符的，按照《</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"https://www.faxin.cn/lib/Zyfl/javascript:void(0);"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商品量计量违法行为处罚规定</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color w:val="auto"/>
                <w:sz w:val="24"/>
                <w:szCs w:val="24"/>
              </w:rPr>
              <w:t>》第</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"https://www.faxin.cn/lib/Zyfl/javascript:void(0);"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五条</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color w:val="auto"/>
                <w:sz w:val="24"/>
                <w:szCs w:val="24"/>
              </w:rPr>
              <w:t>、第</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"https://www.faxin.cn/lib/Zyfl/javascript:void(0);"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六条</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color w:val="auto"/>
                <w:sz w:val="24"/>
                <w:szCs w:val="24"/>
              </w:rPr>
              <w:t>的规定处罚。</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未依法对配置和使用的计量器具进行维护和管理，或者未依法定期接受市场监督管理部门指定的法定计量检定机构对计量器具的强制检定的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《集贸市场计量监督管理办法》第六条经营者应当做到：（二）对配置和使用的计量器具进行维护和管理，定期接受市场监督管理部门指定的法定计量检定机构对计量器具的强制检定。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《集贸市场计量监督管理办法》第十二条第一款经营者违反本办法第六条第（二）项规定的，责令其停止使用，可并处以1000元以下的罚款。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定量包装商品的生产者、销售者未标注净含量的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《定量包装商品计量监督管理办法》第五条第一款　定量包装商品的生产者、销售者应当在其商品包装的显著位置正确、清晰地标注定量包装商品的净含量。</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《定量包装商品计量监督管理办法》第十七条　生产、销售定量包装商品违反本办法第五条、第六条、第七条规定，未正确、清晰地标注净含量的，责令改正；未标注净含量的，限期改正，逾期不改的，可处1000元以下罚款。　</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净含量标注字符的最小高度不符合规定的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《定量包装商品计量监督管理办法》第六条</w:t>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"https://baike.baidu.com/item/%E5%AE%9A%E9%87%8F%E5%8C%85%E8%A3%85%E5%95%86%E5%93%81/5848165"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定量包装商品</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HYPERLINK "https://baike.baidu.com/item/%E5%87%80%E5%90%AB%E9%87%8F/6212981"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color w:val="auto"/>
                <w:sz w:val="24"/>
                <w:szCs w:val="24"/>
              </w:rPr>
              <w:t>净含量</w:t>
            </w:r>
            <w:r>
              <w:rPr>
                <w:rFonts w:hint="eastAsia" w:ascii="仿宋_GB2312" w:hAnsi="仿宋_GB2312" w:eastAsia="仿宋_GB2312" w:cs="仿宋_GB2312"/>
                <w:color w:val="auto"/>
                <w:sz w:val="24"/>
                <w:szCs w:val="24"/>
              </w:rPr>
              <w:fldChar w:fldCharType="end"/>
            </w:r>
            <w:r>
              <w:rPr>
                <w:rFonts w:hint="eastAsia" w:ascii="仿宋_GB2312" w:hAnsi="仿宋_GB2312" w:eastAsia="仿宋_GB2312" w:cs="仿宋_GB2312"/>
                <w:color w:val="auto"/>
                <w:sz w:val="24"/>
                <w:szCs w:val="24"/>
              </w:rPr>
              <w:t>标注字符的最小高度应当符合本办法附表2的规定。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《定量包装商品计量监督管理办法》第十七条　生产、销售定量包装商品违反本办法第五条、第六条、第七条规定，未正确、清晰地标注净含量的，责令改正；未标注净含量的，限期改正，逾期不改的，可处1000元以下罚款。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同一包装内含有多件同种或不同种定量包装商品未依法标注的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《定量包装商品计量监督管理办法》第七条同一包装内含有多件同种定量包装商品的，应当标注单件定量包装商品的净含量和总件数，或者标注总净含量。</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同一包装内含有多件不同种定量包装商品的，应当标注各种不同种定量包装商品的单件净含量和各种不同种定量包装商品的件数，或者分别标注各种不同种定量包装商品的总净含量。</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《定量包装商品计量监督管理办法》第十七条　生产、销售定量包装商品违反本办法第五条、第六条、第七条规定，未正确、清晰地标注净含量的，责令改正；未标注净含量的，限期改正，逾期不改的，可处1000元以下罚款。</w:t>
            </w:r>
          </w:p>
          <w:p>
            <w:pPr>
              <w:spacing w:line="240" w:lineRule="auto"/>
              <w:rPr>
                <w:rFonts w:hint="eastAsia" w:ascii="仿宋_GB2312" w:hAnsi="仿宋_GB2312" w:eastAsia="仿宋_GB2312" w:cs="仿宋_GB2312"/>
                <w:color w:val="auto"/>
                <w:sz w:val="24"/>
                <w:szCs w:val="24"/>
              </w:rPr>
            </w:pP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84</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进行成品油零售时，加油站经营者未使用计量器具的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《加油站计量监督管理办法》第五条加油站经营者应当遵守以下规定：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进行成品油零售时，应当使用燃油加油机等计量器具，并明示计量单位、计量过程和计量器具显示的量值，不得估量计费。成品油零售量的结算值应当与实际值相符，其偏差不得超过国家规定的允许误差；国家对计量偏差没有规定的，其偏差不得超过所使用计量器具的允许误差。</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《加油站计量监督管理办法》第九条　加油站经营者违反本办法有关规定，应当按以下规定进行处罚：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违反本办法第五条第（八）项规定，未使用计量器具的，限期改正，逾期不改的，处1000元以上10000元以下罚款；成品油零售量的结算值与实际值之差超过国家规定允许误差的，责令改正，给消费者造成损失的，责令其赔偿损失，并处以违法所得3倍以下、最高不超过30000元的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85</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重点用能单位未按照规定配备能源计量工作人员或者能源计量工作人员未接受能源计量专业知识培训的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及时改正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《能源计量监督管理办法》第十二条　重点用能单位应当配备专业人员从事能源计量工作。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重点用能单位的能源计量工作人员应当具有能源计量专业知识，定期接受能源计量专业知识培训。</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《能源计量监督管理办法》第十九条　违反本办法规定，重点用能单位未按照规定配备能源计量工作人员或者能源计量工作人员未接受能源计量专业知识培训的，由县级以上地方市场监督管理部门责令限期改正；逾期不改正的，处1万元以上3万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86</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使用国家规定实行强制检定的计量器具的，未依法向法定或者授权的计量检定机构申请周期检定。使用非强制检定计量器具的，未保证定期检定的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《内蒙古自治区计量管理条例》第十二条第一款  使用国家规定实行强制检定的计量器具的，应当向法定或者授权的计量检定机构申请周期检定。使用非强制检定计量器具的，应当保证定期检定。《内蒙古自治区计量管理条例》第三十条  违反本条例规定的，由旗县级以上人民政府市场监督管理部门按照下列规定予以处罚：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（三）违反本条例第十二条第一款规定的，责令停止使用，可以并处1000元以下罚款；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87</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不按规定使用计量器具经营商品或者提供服务的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《内蒙古自治区计量管理条例》第十四条   经营商品或者提供服务按量结算的，应当使用计量器具，保证量值准确，不得估量计费。不具备计量条件并经贸易当事人同意的除外。</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《内蒙古自治区计量管理条例》第三十条  违反本条例规定的，由旗县级以上人民政府市场监督管理部门按照下列规定予以处罚：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（四）不按规定使用计量器具经营商品或者提供服务的，责令改正，可以并处5000元以下罚款。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88</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生产预包装产品未依法在产品标识中标注商品条码的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《内蒙古自治区商品条码管理办法》第十五条第一款  在自治区行政区域内生产下列预包装产品的，应当在产品标识中标注商品条码：</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（一）食品、农副食品、酒、饮料、茶、烟草制品；</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（二）种子、农药、肥料、饲料、日用化学品；</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（三）医疗仪器设备及器械、医药、保健品；</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（四）纺织服装、皮革制品、纸制品、工艺美术品。 </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《内蒙古自治区商品条码管理办法》第三十二条  违反本办法第十五条第一款规定的，由旗县级以上质量技术监督行政管理部门责令改正，处以5000元以上1万元以下罚款。</w:t>
            </w:r>
          </w:p>
          <w:p>
            <w:pPr>
              <w:spacing w:line="240" w:lineRule="auto"/>
              <w:rPr>
                <w:rFonts w:hint="eastAsia" w:ascii="仿宋_GB2312" w:hAnsi="仿宋_GB2312" w:eastAsia="仿宋_GB2312" w:cs="仿宋_GB2312"/>
                <w:color w:val="auto"/>
                <w:sz w:val="24"/>
                <w:szCs w:val="24"/>
              </w:rPr>
            </w:pP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89</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系统成员未按照有关国家标准，编制商品条码，或者未依法到物品编码机构办理备案手续的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《内蒙古自治区商品条码管理办法》第十六条　系统成员应当按照有关国家标准，编制商品条码，并自编制之日起三十日内到物品编码机构办理备案手续。</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《内蒙古自治区商品条码管理办法》第三十三条  违反本办法第十六条、第十七条、第二十四条、第二十五条规定的，由旗县级以上质量技术监督行政管理部门责令改正，处以1000元以下罚款。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90</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商品条码的设计尺寸、颜色、印刷位置以及商品条码的质量不符合国家标准</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《内蒙古自治区商品条码管理办法》第十七条　商品条码的设计尺寸、颜色、印刷位置以及商品条码的质量应当符合国家标准。</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《内蒙古自治区商品条码管理办法》第三十三条  违反本办法第十六条、第十七条、第二十四条、第二十五条规定的，由旗县级以上质量技术监督行政管理部门责令改正，处以1000元以下罚款。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在自治区使用境外注册商品条码的生产者，未依法到物品编码机构备案的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《内蒙古自治区商品条码管理办法》第二十四条　在自治区使用境外注册商品条码的生产者，应当自使用之日起三个月内持合法有效证明到物品编码机构备案。</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《内蒙古自治区商品条码管理办法》第三十三条  违反本办法第十六条、第十七条、第二十四条、第二十五条规定的，由旗县级以上质量技术监督行政管理部门责令改正，处以1000元以下罚款。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92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商品销售者未建立商品条码的查验制度，查验有效的《系统成员证书》或者同等效力的证明和商品条码质量合格证明并存档的；商品销售者采用与商品条码有关的自动识别销售系统，不符合国家标准的</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符合下列情形之一：                       1.及时改正，没有造成危害后果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2.初次违法，及时改正，危害后果轻微</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《内蒙古自治区商品条码管理办法》第二十五条　商品销售者应当建立商品条码的查验制度，查验有效的《系统成员证书》或者同等效力的证明和商品条码质量合格证明并存档。</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商品销售者采用与商品条码有关的自动识别销售系统，应当符合国家标准。</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《内蒙古自治区商品条码管理办法》第三十三条  违反本办法第十六条、第十七条、第二十四条、第二十五条规定的，由旗县级以上质量技术监督行政管理部门责令改正，处以1000元以下罚款。</w:t>
            </w:r>
          </w:p>
        </w:tc>
        <w:tc>
          <w:tcPr>
            <w:tcW w:w="561"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color w:val="auto"/>
                <w:kern w:val="2"/>
                <w:sz w:val="40"/>
                <w:szCs w:val="40"/>
              </w:rPr>
              <w:t>应急管理局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生产经营单位未建立健全特种作业人员档案。</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一般生产经营单位，已建立特种作业人员档案，但有1名新增特种作业人员已经取证，但未及时建立档案，时间不超过3日，属首次被发现，能当场改正。</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z w:val="24"/>
                <w:szCs w:val="24"/>
              </w:rPr>
              <w:t>【法律】</w:t>
            </w:r>
            <w:r>
              <w:rPr>
                <w:rFonts w:hint="eastAsia" w:ascii="仿宋_GB2312" w:hAnsi="仿宋_GB2312" w:eastAsia="仿宋_GB2312" w:cs="仿宋_GB2312"/>
                <w:color w:val="auto"/>
                <w:sz w:val="24"/>
                <w:szCs w:val="24"/>
              </w:rPr>
              <w:t>《中华人民共和国行政处罚法》（2021年修订）第三十三条　违法行为轻微并及时改正，没有造成危害后果的，不予行政处罚。初次违法且危害后果轻微并及时改正的，可以不予行政处罚。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当事人有证据足以证明没有主观过错的，不予行政处罚。法律、行政法规另有规定的，从其规定。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对当事人的违法行为依法不予行政处罚的，行政机关应当对当事人进行教育。</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z w:val="24"/>
                <w:szCs w:val="24"/>
              </w:rPr>
              <w:t>【部门规章】《</w:t>
            </w:r>
            <w:r>
              <w:rPr>
                <w:rFonts w:hint="eastAsia" w:ascii="仿宋_GB2312" w:hAnsi="仿宋_GB2312" w:eastAsia="仿宋_GB2312" w:cs="仿宋_GB2312"/>
                <w:color w:val="auto"/>
                <w:sz w:val="24"/>
                <w:szCs w:val="24"/>
              </w:rPr>
              <w:t>特种作业人员安全技术培训考核管理规定》（2015年修正）第三十四条生产经营单位应当加强对本单位特种作业人员的管理，建立健全特种作业人员培训、复审档案，做好申报、培训、考核、复审的组织工作和日常的检查工作。</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《特种作业人员安全技术培训考核管理规定》（2015年修正）第三十八条生产经营单位未建立健全特种作业人员档案的，给予警告，并处1万元以下的罚款。</w:t>
            </w:r>
          </w:p>
        </w:tc>
        <w:tc>
          <w:tcPr>
            <w:tcW w:w="561"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谈话提醒、整改回访督促等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生产经营单位未按照规定进行应急预案修订。</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一般生产经营单位，其从业人员人数20人以下，未按规定及时修订应急预案时间不超过20天，属首次被发现。</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z w:val="24"/>
                <w:szCs w:val="24"/>
              </w:rPr>
              <w:t>【法律】</w:t>
            </w:r>
            <w:r>
              <w:rPr>
                <w:rFonts w:hint="eastAsia" w:ascii="仿宋_GB2312" w:hAnsi="仿宋_GB2312" w:eastAsia="仿宋_GB2312" w:cs="仿宋_GB2312"/>
                <w:color w:val="auto"/>
                <w:sz w:val="24"/>
                <w:szCs w:val="24"/>
              </w:rPr>
              <w:t>《中华人民共和国行政处罚法》（2021年修订）第三十三条　违法行为轻微并及时改正，没有造成危害后果的，不予行政处罚。初次违法且危害后果轻微并及时改正的，可以不予行政处罚。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当事人有证据足以证明没有主观过错的，不予行政处罚。法律、行政法规另有规定的，从其规定。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对当事人的违法行为依法不予行政处罚的行政机关应当对当事人进行教育。</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z w:val="24"/>
                <w:szCs w:val="24"/>
              </w:rPr>
              <w:t>【部门规章】</w:t>
            </w:r>
            <w:r>
              <w:rPr>
                <w:rFonts w:hint="eastAsia" w:ascii="仿宋_GB2312" w:hAnsi="仿宋_GB2312" w:eastAsia="仿宋_GB2312" w:cs="仿宋_GB2312"/>
                <w:color w:val="auto"/>
                <w:sz w:val="24"/>
                <w:szCs w:val="24"/>
              </w:rPr>
              <w:t>《生产安全事故应急预案管理办法》（2019年修正）第三十六条有下列情形之一的，应急预案应当及时修订并归档：</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（一）依据的法律、法规、规章、标准及上位预案中的有关规定发生重大变化的；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（二）应急指挥机构及其职责发生调整的；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（三）安全生产面临的风险发生重大变化的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（四）重要应急资源发生重大变化的；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（五）在应急演练和事故应急救援中发现需要修订预案的重大问题的；</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（六）编制单位认为应当修订的其他情况。</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生产安全事故应急预案管理办法》（2019年修正）第三十七条应急预案修订涉及组织指挥体系与职责、应急处置程序、主要处置措施、应急响应分级等内容变更的，修订工作应当参照本办法规定的应急预案编制程序进行，并按照有关应急预案报备程序重新备案。</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《生产安全事故应急预案管理办法》（2019年修正）第四十五条第一款第（五）项生产经营单位有下列情形之一的，由县级以上人民政府应急管理部门责令限期改正，可以处1万元以上3万元以下罚款：</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（五）未按照规定进行应急预案修订的。</w:t>
            </w:r>
          </w:p>
        </w:tc>
        <w:tc>
          <w:tcPr>
            <w:tcW w:w="561"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谈话提醒、整改回访督促等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w:t>
            </w:r>
          </w:p>
        </w:tc>
        <w:tc>
          <w:tcPr>
            <w:tcW w:w="814"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安全评价检测检验机构未在开展现场技术服务前七个工作日内，书面告知项目实施地资质认可机关。</w:t>
            </w:r>
          </w:p>
        </w:tc>
        <w:tc>
          <w:tcPr>
            <w:tcW w:w="1502"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已书面告知项目实施地资质认可机关，但未在开展现场技术服务前7个工作日内告知，有1次，属首次被发现。</w:t>
            </w:r>
          </w:p>
        </w:tc>
        <w:tc>
          <w:tcPr>
            <w:tcW w:w="1798" w:type="pct"/>
            <w:vAlign w:val="center"/>
          </w:tcPr>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z w:val="24"/>
                <w:szCs w:val="24"/>
              </w:rPr>
              <w:t>【法律】</w:t>
            </w:r>
            <w:r>
              <w:rPr>
                <w:rFonts w:hint="eastAsia" w:ascii="仿宋_GB2312" w:hAnsi="仿宋_GB2312" w:eastAsia="仿宋_GB2312" w:cs="仿宋_GB2312"/>
                <w:color w:val="auto"/>
                <w:sz w:val="24"/>
                <w:szCs w:val="24"/>
              </w:rPr>
              <w:t>《中华人民共和国行政处罚法》（2021年修订）第三十三条　违法行为轻微并及时改正，没有造成危害后果的，不予行政处罚。初次违法且危害后果轻微并及时改正的，可以不予行政处罚。</w:t>
            </w:r>
          </w:p>
          <w:p>
            <w:pPr>
              <w:spacing w:line="240" w:lineRule="auto"/>
              <w:ind w:firstLine="240" w:firstLineChars="1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当事人有证据足以证明没有主观过错的，不予行政处罚。法律、行政法规另有规定的，从其规定。</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对当事人的违法行为依法不予行政处罚的行政机关应当对当事人进行教育。</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b/>
                <w:color w:val="auto"/>
                <w:sz w:val="24"/>
                <w:szCs w:val="24"/>
              </w:rPr>
              <w:t>【部门规章】</w:t>
            </w:r>
            <w:r>
              <w:rPr>
                <w:rFonts w:hint="eastAsia" w:ascii="仿宋_GB2312" w:hAnsi="仿宋_GB2312" w:eastAsia="仿宋_GB2312" w:cs="仿宋_GB2312"/>
                <w:color w:val="auto"/>
                <w:sz w:val="24"/>
                <w:szCs w:val="24"/>
              </w:rPr>
              <w:t>《安全评价检测检验机构管理办法》（2019年施行）第十九条安全评价检测检验机构应当在开展现场技术服务前七个工作日内，书面告知（附件4）项目实施地资质认可机关，接受资质认可机关及其下级部门的监督抽查。</w:t>
            </w:r>
          </w:p>
          <w:p>
            <w:pPr>
              <w:spacing w:line="24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安全评价检测检验机构管理办法》（2019年施行）第三十条第（四）项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p>
          <w:p>
            <w:pPr>
              <w:spacing w:line="240" w:lineRule="auto"/>
              <w:ind w:firstLine="240" w:firstLineChars="1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（四）未在开展现场技术服务前七个工作日内，书面告知项目实施地资质认可机关的</w:t>
            </w:r>
          </w:p>
        </w:tc>
        <w:tc>
          <w:tcPr>
            <w:tcW w:w="561" w:type="pct"/>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谈话提醒、整改回访督促等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pStyle w:val="2"/>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kern w:val="2"/>
                <w:sz w:val="40"/>
                <w:szCs w:val="40"/>
              </w:rPr>
              <w:t>发展和改革委员会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after="120"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w:t>
            </w:r>
          </w:p>
        </w:tc>
        <w:tc>
          <w:tcPr>
            <w:tcW w:w="814"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对从事粮食收购、储存、运输、加工和销售等经营活动不符合粮食质量标准和食品安全标准的处罚</w:t>
            </w:r>
          </w:p>
        </w:tc>
        <w:tc>
          <w:tcPr>
            <w:tcW w:w="1502"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当事人及时改正违法行为</w:t>
            </w:r>
          </w:p>
        </w:tc>
        <w:tc>
          <w:tcPr>
            <w:tcW w:w="1798" w:type="pct"/>
            <w:vAlign w:val="center"/>
          </w:tcPr>
          <w:p>
            <w:pPr>
              <w:spacing w:line="240" w:lineRule="auto"/>
              <w:textAlignment w:val="top"/>
              <w:rPr>
                <w:rFonts w:hint="eastAsia" w:ascii="仿宋_GB2312" w:hAnsi="仿宋_GB2312" w:eastAsia="仿宋_GB2312" w:cs="仿宋_GB2312"/>
                <w:b/>
                <w:bCs/>
                <w:kern w:val="2"/>
                <w:sz w:val="24"/>
                <w:szCs w:val="24"/>
              </w:rPr>
            </w:pPr>
            <w:r>
              <w:rPr>
                <w:rStyle w:val="16"/>
                <w:rFonts w:hint="eastAsia" w:ascii="仿宋_GB2312" w:hAnsi="仿宋_GB2312" w:eastAsia="仿宋_GB2312" w:cs="仿宋_GB2312"/>
                <w:sz w:val="24"/>
                <w:szCs w:val="24"/>
              </w:rPr>
              <w:t>【部门规章】</w:t>
            </w:r>
            <w:r>
              <w:rPr>
                <w:rStyle w:val="17"/>
                <w:rFonts w:hint="eastAsia" w:ascii="仿宋_GB2312" w:hAnsi="仿宋_GB2312" w:eastAsia="仿宋_GB2312" w:cs="仿宋_GB2312"/>
                <w:sz w:val="24"/>
                <w:szCs w:val="24"/>
              </w:rPr>
              <w:t>《粮食质量安全监管办法》第四十三条　违反本办法第十一条规定的，由县级以上粮食行政管理部门责令改正，予以警告。</w:t>
            </w:r>
          </w:p>
        </w:tc>
        <w:tc>
          <w:tcPr>
            <w:tcW w:w="561" w:type="pct"/>
            <w:vAlign w:val="center"/>
          </w:tcPr>
          <w:p>
            <w:pPr>
              <w:spacing w:line="240" w:lineRule="auto"/>
              <w:textAlignment w:val="top"/>
              <w:rPr>
                <w:rFonts w:hint="eastAsia" w:ascii="仿宋_GB2312" w:hAnsi="仿宋_GB2312" w:eastAsia="仿宋_GB2312" w:cs="仿宋_GB2312"/>
                <w:sz w:val="24"/>
                <w:szCs w:val="24"/>
              </w:rPr>
            </w:pPr>
            <w:r>
              <w:rPr>
                <w:rStyle w:val="16"/>
                <w:rFonts w:hint="eastAsia" w:ascii="仿宋_GB2312" w:hAnsi="仿宋_GB2312" w:eastAsia="仿宋_GB2312" w:cs="仿宋_GB2312"/>
                <w:b w:val="0"/>
                <w:bCs w:val="0"/>
                <w:sz w:val="24"/>
                <w:szCs w:val="24"/>
              </w:rPr>
              <w:t>说服教育、谈话提醒、回访督查、行政指导、行政告诫等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after="120"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w:t>
            </w:r>
          </w:p>
        </w:tc>
        <w:tc>
          <w:tcPr>
            <w:tcW w:w="814"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对违反粮食收购入库质量安全检验制度的处罚</w:t>
            </w:r>
          </w:p>
        </w:tc>
        <w:tc>
          <w:tcPr>
            <w:tcW w:w="1502"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color w:val="auto"/>
                <w:sz w:val="24"/>
                <w:szCs w:val="24"/>
                <w:shd w:val="clear" w:color="auto" w:fill="FFFFFF"/>
              </w:rPr>
              <w:t>当事人及时改正违法行为</w:t>
            </w:r>
          </w:p>
        </w:tc>
        <w:tc>
          <w:tcPr>
            <w:tcW w:w="1798"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kern w:val="2"/>
                <w:sz w:val="24"/>
                <w:szCs w:val="24"/>
              </w:rPr>
            </w:pPr>
            <w:r>
              <w:rPr>
                <w:rFonts w:hint="eastAsia" w:ascii="仿宋_GB2312" w:hAnsi="仿宋_GB2312" w:eastAsia="仿宋_GB2312" w:cs="仿宋_GB2312"/>
                <w:b/>
                <w:bCs/>
                <w:kern w:val="2"/>
                <w:sz w:val="24"/>
                <w:szCs w:val="24"/>
              </w:rPr>
              <w:t>【部门规章】</w:t>
            </w:r>
            <w:r>
              <w:rPr>
                <w:rStyle w:val="17"/>
                <w:rFonts w:hint="eastAsia" w:ascii="仿宋_GB2312" w:hAnsi="仿宋_GB2312" w:eastAsia="仿宋_GB2312" w:cs="仿宋_GB2312"/>
                <w:sz w:val="24"/>
                <w:szCs w:val="24"/>
              </w:rPr>
              <w:t>《粮食质量安全监管办法》第四十三条　违反本办法第十四条第二、第三、第四、第五款规定的，由县级以上粮食行政管理部门责令改正，予以警告。</w:t>
            </w:r>
          </w:p>
        </w:tc>
        <w:tc>
          <w:tcPr>
            <w:tcW w:w="561"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Style w:val="16"/>
                <w:rFonts w:hint="eastAsia" w:ascii="仿宋_GB2312" w:hAnsi="仿宋_GB2312" w:eastAsia="仿宋_GB2312" w:cs="仿宋_GB2312"/>
                <w:b w:val="0"/>
                <w:bCs w:val="0"/>
                <w:sz w:val="24"/>
                <w:szCs w:val="24"/>
              </w:rPr>
              <w:t>说服教育、谈话提醒、回访督查、行政指导、行政告诫等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after="120" w:line="240" w:lineRule="auto"/>
              <w:jc w:val="center"/>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color w:val="auto"/>
                <w:sz w:val="24"/>
                <w:szCs w:val="24"/>
                <w:shd w:val="clear" w:color="auto" w:fill="FFFFFF"/>
              </w:rPr>
              <w:t>3</w:t>
            </w:r>
          </w:p>
        </w:tc>
        <w:tc>
          <w:tcPr>
            <w:tcW w:w="814"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color w:val="auto"/>
                <w:sz w:val="24"/>
                <w:szCs w:val="24"/>
                <w:shd w:val="clear" w:color="auto" w:fill="FFFFFF"/>
              </w:rPr>
              <w:t>对违反粮食销售出库质量安全检验制度的处罚</w:t>
            </w:r>
          </w:p>
        </w:tc>
        <w:tc>
          <w:tcPr>
            <w:tcW w:w="1502"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color w:val="auto"/>
                <w:sz w:val="24"/>
                <w:szCs w:val="24"/>
                <w:shd w:val="clear" w:color="auto" w:fill="FFFFFF"/>
              </w:rPr>
              <w:t>当事人及时改正违法行为</w:t>
            </w:r>
          </w:p>
        </w:tc>
        <w:tc>
          <w:tcPr>
            <w:tcW w:w="1798"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【部门规章】</w:t>
            </w:r>
            <w:r>
              <w:rPr>
                <w:rFonts w:hint="eastAsia" w:ascii="仿宋_GB2312" w:hAnsi="仿宋_GB2312" w:eastAsia="仿宋_GB2312" w:cs="仿宋_GB2312"/>
                <w:kern w:val="2"/>
                <w:sz w:val="24"/>
                <w:szCs w:val="24"/>
              </w:rPr>
              <w:t>《粮食质量安全监管办法》第四十三条　违反本办法第十七条第一款规定的，由县级以上粮食行政管理部门责令改正，予以警告。</w:t>
            </w:r>
          </w:p>
        </w:tc>
        <w:tc>
          <w:tcPr>
            <w:tcW w:w="561"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Style w:val="16"/>
                <w:rFonts w:hint="eastAsia" w:ascii="仿宋_GB2312" w:hAnsi="仿宋_GB2312" w:eastAsia="仿宋_GB2312" w:cs="仿宋_GB2312"/>
                <w:b w:val="0"/>
                <w:bCs w:val="0"/>
                <w:sz w:val="24"/>
                <w:szCs w:val="24"/>
              </w:rPr>
              <w:t>说服教育、谈话提醒、回访督查、行政指导、行政告诫等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after="120"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4</w:t>
            </w:r>
          </w:p>
        </w:tc>
        <w:tc>
          <w:tcPr>
            <w:tcW w:w="814"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对经营者采购粮食未按规定索取、查验和保存销售方提供的检验报告，并对采购的粮食进行验收检验的处罚</w:t>
            </w:r>
          </w:p>
        </w:tc>
        <w:tc>
          <w:tcPr>
            <w:tcW w:w="1502"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当事人及时改正违法行为</w:t>
            </w:r>
          </w:p>
        </w:tc>
        <w:tc>
          <w:tcPr>
            <w:tcW w:w="1798"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【部门规章】</w:t>
            </w:r>
            <w:r>
              <w:rPr>
                <w:rFonts w:hint="eastAsia" w:ascii="仿宋_GB2312" w:hAnsi="仿宋_GB2312" w:eastAsia="仿宋_GB2312" w:cs="仿宋_GB2312"/>
                <w:kern w:val="2"/>
                <w:sz w:val="24"/>
                <w:szCs w:val="24"/>
              </w:rPr>
              <w:t>《粮食质量安全监管办法》第四十三条　违反本办法第十九条规定的，由县级以上粮食行政管理部门责令改正，予以警告。</w:t>
            </w:r>
          </w:p>
        </w:tc>
        <w:tc>
          <w:tcPr>
            <w:tcW w:w="561"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sz w:val="24"/>
                <w:szCs w:val="24"/>
              </w:rPr>
            </w:pPr>
            <w:r>
              <w:rPr>
                <w:rStyle w:val="16"/>
                <w:rFonts w:hint="eastAsia" w:ascii="仿宋_GB2312" w:hAnsi="仿宋_GB2312" w:eastAsia="仿宋_GB2312" w:cs="仿宋_GB2312"/>
                <w:b w:val="0"/>
                <w:bCs w:val="0"/>
                <w:sz w:val="24"/>
                <w:szCs w:val="24"/>
              </w:rPr>
              <w:t>说服教育、谈话提醒、回访督查、行政指导、行政告诫等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after="120"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5</w:t>
            </w:r>
          </w:p>
        </w:tc>
        <w:tc>
          <w:tcPr>
            <w:tcW w:w="814"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对从事食用粮食加工的经营者，不具有保证粮食质量安全必备的加工条件的处罚</w:t>
            </w:r>
          </w:p>
        </w:tc>
        <w:tc>
          <w:tcPr>
            <w:tcW w:w="1502"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当事人及时改正违法行为</w:t>
            </w:r>
          </w:p>
        </w:tc>
        <w:tc>
          <w:tcPr>
            <w:tcW w:w="1798"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【部门规章】</w:t>
            </w:r>
            <w:r>
              <w:rPr>
                <w:rFonts w:hint="eastAsia" w:ascii="仿宋_GB2312" w:hAnsi="仿宋_GB2312" w:eastAsia="仿宋_GB2312" w:cs="仿宋_GB2312"/>
                <w:kern w:val="2"/>
                <w:sz w:val="24"/>
                <w:szCs w:val="24"/>
              </w:rPr>
              <w:t>《粮食质量安全监管办法》第四十三条　违反本办法第二十二条规定的，由县级以上粮食行政管理部门责令改正，予以警告。</w:t>
            </w:r>
          </w:p>
        </w:tc>
        <w:tc>
          <w:tcPr>
            <w:tcW w:w="561"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sz w:val="24"/>
                <w:szCs w:val="24"/>
              </w:rPr>
            </w:pPr>
            <w:r>
              <w:rPr>
                <w:rStyle w:val="16"/>
                <w:rFonts w:hint="eastAsia" w:ascii="仿宋_GB2312" w:hAnsi="仿宋_GB2312" w:eastAsia="仿宋_GB2312" w:cs="仿宋_GB2312"/>
                <w:b w:val="0"/>
                <w:bCs w:val="0"/>
                <w:sz w:val="24"/>
                <w:szCs w:val="24"/>
              </w:rPr>
              <w:t>说服教育、谈话提醒、回访督查、行政指导、行政告诫等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after="120"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6</w:t>
            </w:r>
          </w:p>
        </w:tc>
        <w:tc>
          <w:tcPr>
            <w:tcW w:w="814"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对违反粮食质量安全档案制度的处罚</w:t>
            </w:r>
          </w:p>
        </w:tc>
        <w:tc>
          <w:tcPr>
            <w:tcW w:w="1502"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当事人及时改正违法行为</w:t>
            </w:r>
          </w:p>
        </w:tc>
        <w:tc>
          <w:tcPr>
            <w:tcW w:w="1798"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【部门规章】</w:t>
            </w:r>
            <w:r>
              <w:rPr>
                <w:rFonts w:hint="eastAsia" w:ascii="仿宋_GB2312" w:hAnsi="仿宋_GB2312" w:eastAsia="仿宋_GB2312" w:cs="仿宋_GB2312"/>
                <w:kern w:val="2"/>
                <w:sz w:val="24"/>
                <w:szCs w:val="24"/>
              </w:rPr>
              <w:t>《粮食质量安全监管办法》第四十三条　违反本办法第二十三条规定的，由县级以上粮食行政管理部门责令改正，予以警告。</w:t>
            </w:r>
          </w:p>
        </w:tc>
        <w:tc>
          <w:tcPr>
            <w:tcW w:w="561"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sz w:val="24"/>
                <w:szCs w:val="24"/>
              </w:rPr>
            </w:pPr>
            <w:r>
              <w:rPr>
                <w:rStyle w:val="16"/>
                <w:rFonts w:hint="eastAsia" w:ascii="仿宋_GB2312" w:hAnsi="仿宋_GB2312" w:eastAsia="仿宋_GB2312" w:cs="仿宋_GB2312"/>
                <w:b w:val="0"/>
                <w:bCs w:val="0"/>
                <w:sz w:val="24"/>
                <w:szCs w:val="24"/>
              </w:rPr>
              <w:t>说服教育、谈话提醒、回访督查、行政指导、行政告诫等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after="120"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7</w:t>
            </w:r>
          </w:p>
        </w:tc>
        <w:tc>
          <w:tcPr>
            <w:tcW w:w="814"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对粮食收购者、粮食储存企业未按照规定使用仓储设施、运输工具的处罚</w:t>
            </w:r>
          </w:p>
        </w:tc>
        <w:tc>
          <w:tcPr>
            <w:tcW w:w="1502"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当事人及时改正违法行为</w:t>
            </w:r>
          </w:p>
        </w:tc>
        <w:tc>
          <w:tcPr>
            <w:tcW w:w="1798"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b/>
                <w:bCs/>
                <w:kern w:val="2"/>
                <w:sz w:val="24"/>
                <w:szCs w:val="24"/>
              </w:rPr>
            </w:pPr>
            <w:r>
              <w:rPr>
                <w:rFonts w:hint="eastAsia" w:ascii="仿宋_GB2312" w:hAnsi="仿宋_GB2312" w:eastAsia="仿宋_GB2312" w:cs="仿宋_GB2312"/>
                <w:b/>
                <w:bCs/>
                <w:kern w:val="2"/>
                <w:sz w:val="24"/>
                <w:szCs w:val="24"/>
              </w:rPr>
              <w:t>【行政法规】</w:t>
            </w:r>
            <w:r>
              <w:rPr>
                <w:rFonts w:hint="eastAsia" w:ascii="仿宋_GB2312" w:hAnsi="仿宋_GB2312" w:eastAsia="仿宋_GB2312" w:cs="仿宋_GB2312"/>
                <w:kern w:val="2"/>
                <w:sz w:val="24"/>
                <w:szCs w:val="24"/>
              </w:rPr>
              <w:t>《粮食流通管理条例》第四十六条粮食收购者、粮食储存企业未按照本条例规定使用仓储设施、运输工具的，由粮食和储备行政管理等部门按照职责责令改正，给予警告；被污染的粮食不得非法销售、加工。</w:t>
            </w:r>
          </w:p>
        </w:tc>
        <w:tc>
          <w:tcPr>
            <w:tcW w:w="561" w:type="pct"/>
            <w:vAlign w:val="center"/>
          </w:tcPr>
          <w:p>
            <w:pPr>
              <w:widowControl w:val="0"/>
              <w:kinsoku/>
              <w:autoSpaceDE/>
              <w:autoSpaceDN/>
              <w:adjustRightInd/>
              <w:snapToGrid/>
              <w:spacing w:after="120" w:line="240" w:lineRule="auto"/>
              <w:textAlignment w:val="auto"/>
              <w:rPr>
                <w:rFonts w:hint="eastAsia" w:ascii="仿宋_GB2312" w:hAnsi="仿宋_GB2312" w:eastAsia="仿宋_GB2312" w:cs="仿宋_GB2312"/>
                <w:sz w:val="24"/>
                <w:szCs w:val="24"/>
              </w:rPr>
            </w:pPr>
            <w:r>
              <w:rPr>
                <w:rStyle w:val="16"/>
                <w:rFonts w:hint="eastAsia" w:ascii="仿宋_GB2312" w:hAnsi="仿宋_GB2312" w:eastAsia="仿宋_GB2312" w:cs="仿宋_GB2312"/>
                <w:b w:val="0"/>
                <w:bCs w:val="0"/>
                <w:sz w:val="24"/>
                <w:szCs w:val="24"/>
              </w:rPr>
              <w:t>说服教育、谈话提醒、回访督查、行政指导、行政告诫等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5000" w:type="pct"/>
            <w:gridSpan w:val="5"/>
            <w:vAlign w:val="center"/>
          </w:tcPr>
          <w:p>
            <w:pPr>
              <w:spacing w:line="24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b/>
                <w:bCs/>
                <w:color w:val="auto"/>
                <w:sz w:val="40"/>
                <w:szCs w:val="40"/>
                <w:lang w:eastAsia="zh-CN"/>
              </w:rPr>
              <w:t>根河市</w:t>
            </w:r>
            <w:r>
              <w:rPr>
                <w:rStyle w:val="16"/>
                <w:rFonts w:hint="eastAsia" w:ascii="仿宋_GB2312" w:hAnsi="仿宋_GB2312" w:eastAsia="仿宋_GB2312" w:cs="仿宋_GB2312"/>
                <w:sz w:val="40"/>
                <w:szCs w:val="40"/>
              </w:rPr>
              <w:t>自然资源局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32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1</w:t>
            </w:r>
          </w:p>
        </w:tc>
        <w:tc>
          <w:tcPr>
            <w:tcW w:w="814" w:type="pct"/>
            <w:vAlign w:val="center"/>
          </w:tcPr>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对拒不履行土地复垦义务的处罚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502" w:type="pct"/>
            <w:vAlign w:val="center"/>
          </w:tcPr>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违法行为轻微，经责令在期限内改正的。不予行政处罚。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中华人民共和国土地管理法》（1986年6月通过，2019年8月修正）第七十六条违反本法规定，拒不履行土地复垦义务的，由县级以上人民政府自然资源主管部门责令限期改正；逾期不改正的，责令缴纳复垦费，专项用于土地复垦，可以处以罚款。</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2</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对临时用地期满之日起一年内未完成复垦或者未恢复种植条件的处罚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违法行为轻微，</w:t>
            </w:r>
            <w:r>
              <w:rPr>
                <w:rFonts w:hint="eastAsia" w:ascii="仿宋_GB2312" w:hAnsi="仿宋_GB2312" w:eastAsia="仿宋_GB2312" w:cs="仿宋_GB2312"/>
                <w:color w:val="auto"/>
                <w:sz w:val="24"/>
                <w:szCs w:val="24"/>
                <w:shd w:val="clear" w:color="auto" w:fill="FFFFFF"/>
              </w:rPr>
              <w:t>经责令在期限内改正的。不予行政处罚。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中华人民共和国土地管理法》（1986年6月通过，2019年8月修正）第七十六条违反本法规定，拒不履行土地复垦义务的，由县级以上人民政府自然资源主管部门责令限期改正；逾期不改正的，责令缴纳复垦费，专项用于土地复垦，可以处以罚款。</w:t>
            </w:r>
          </w:p>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pStyle w:val="2"/>
              <w:spacing w:line="240" w:lineRule="auto"/>
              <w:jc w:val="center"/>
              <w:rPr>
                <w:rFonts w:hint="eastAsia" w:ascii="仿宋_GB2312" w:hAnsi="仿宋_GB2312" w:eastAsia="仿宋_GB2312" w:cs="仿宋_GB2312"/>
                <w:sz w:val="24"/>
                <w:szCs w:val="24"/>
              </w:rPr>
            </w:pPr>
          </w:p>
          <w:p>
            <w:pPr>
              <w:pStyle w:val="3"/>
              <w:spacing w:line="240" w:lineRule="auto"/>
              <w:jc w:val="center"/>
              <w:rPr>
                <w:rFonts w:hint="eastAsia" w:ascii="仿宋_GB2312" w:hAnsi="仿宋_GB2312" w:eastAsia="仿宋_GB2312" w:cs="仿宋_GB2312"/>
                <w:sz w:val="24"/>
                <w:szCs w:val="24"/>
              </w:rPr>
            </w:pPr>
          </w:p>
          <w:p>
            <w:pPr>
              <w:spacing w:line="240" w:lineRule="auto"/>
              <w:jc w:val="center"/>
              <w:rPr>
                <w:rFonts w:hint="eastAsia" w:ascii="仿宋_GB2312" w:hAnsi="仿宋_GB2312" w:eastAsia="仿宋_GB2312" w:cs="仿宋_GB2312"/>
                <w:sz w:val="24"/>
                <w:szCs w:val="24"/>
              </w:rPr>
            </w:pPr>
          </w:p>
          <w:p>
            <w:pPr>
              <w:pStyle w:val="2"/>
              <w:spacing w:line="240" w:lineRule="auto"/>
              <w:jc w:val="center"/>
              <w:rPr>
                <w:rFonts w:hint="eastAsia" w:ascii="仿宋_GB2312" w:hAnsi="仿宋_GB2312" w:eastAsia="仿宋_GB2312" w:cs="仿宋_GB2312"/>
                <w:sz w:val="24"/>
                <w:szCs w:val="24"/>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3</w:t>
            </w:r>
          </w:p>
        </w:tc>
        <w:tc>
          <w:tcPr>
            <w:tcW w:w="814" w:type="pct"/>
          </w:tcPr>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对不按照规定备案、报告有关情况、拒绝接受监督检查或者弄虚作</w:t>
            </w: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假；未完成最低勘查投入；已经领取勘查许可证的勘查</w:t>
            </w: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项目，满6个月未开始施工，或者施工后无故停止勘查工作满6个月的处罚</w:t>
            </w: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违法行为轻微，</w:t>
            </w:r>
            <w:r>
              <w:rPr>
                <w:rFonts w:hint="eastAsia" w:ascii="仿宋_GB2312" w:hAnsi="仿宋_GB2312" w:eastAsia="仿宋_GB2312" w:cs="仿宋_GB2312"/>
                <w:color w:val="auto"/>
                <w:sz w:val="24"/>
                <w:szCs w:val="24"/>
                <w:shd w:val="clear" w:color="auto" w:fill="FFFFFF"/>
              </w:rPr>
              <w:t>经责令在期限内改正的。不予行政处罚。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numPr>
                <w:ilvl w:val="0"/>
                <w:numId w:val="1"/>
              </w:num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《矿产资源勘查区块登记管理办法》（1998年2月国务院令第240号公布，2014 年7月国务院令第653号修改）</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二十九条违反本办法规定，有下列行为之一的，由县级以上人民政府负责地质矿产管理工作的部门按照国务院地质矿产主管部门规定的权限，责令限期改正；逾期不改正的，处5万元以下的罚款；情节严重的，原发证机关可以吊销勘查许可证：（一）不按照本办法规定备案、报告有关情况、拒绝接受监督检查或者弄虚作假的；（二）未完成最低勘查投入的；（三）已经领取勘查许可证的勘查项目，满6个月未开始施工，或者施工后无故停止勘查工作满6个月的。</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both"/>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4</w:t>
            </w:r>
          </w:p>
        </w:tc>
        <w:tc>
          <w:tcPr>
            <w:tcW w:w="814"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p>
            <w:pPr>
              <w:pStyle w:val="2"/>
              <w:spacing w:line="240" w:lineRule="auto"/>
              <w:jc w:val="distribute"/>
              <w:rPr>
                <w:rFonts w:hint="eastAsia" w:ascii="仿宋_GB2312" w:hAnsi="仿宋_GB2312" w:eastAsia="仿宋_GB2312" w:cs="仿宋_GB2312"/>
                <w:sz w:val="24"/>
                <w:szCs w:val="24"/>
              </w:rPr>
            </w:pP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对破坏或者擅自移动矿区范围界桩或者地面标志的处罚</w:t>
            </w: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sz w:val="24"/>
                <w:szCs w:val="24"/>
              </w:rPr>
            </w:pP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违法行为轻微，</w:t>
            </w:r>
            <w:r>
              <w:rPr>
                <w:rFonts w:hint="eastAsia" w:ascii="仿宋_GB2312" w:hAnsi="仿宋_GB2312" w:eastAsia="仿宋_GB2312" w:cs="仿宋_GB2312"/>
                <w:color w:val="auto"/>
                <w:sz w:val="24"/>
                <w:szCs w:val="24"/>
                <w:shd w:val="clear" w:color="auto" w:fill="FFFFFF"/>
              </w:rPr>
              <w:t>经责令在期限内恢复，未造成危害后果的。</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numPr>
                <w:ilvl w:val="0"/>
                <w:numId w:val="2"/>
              </w:num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《矿产资源开采登记管理办法》（1998年2月国务院令第241号）</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第十九条破坏或者擅自移动矿区范围界桩或者地面标志的，由县级以上人民政府负责地质矿产管理工作的部门按照国务院地质矿产主管部门规定的权限，责令限期恢复；情节严重的，处3万元以下的罚款。</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5</w:t>
            </w:r>
          </w:p>
        </w:tc>
        <w:tc>
          <w:tcPr>
            <w:tcW w:w="814"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对未按照规定对地质灾害易发区内的建设工程进行地质灾害危险性评估；配套的地质灾害治理工程未经验收或者经验收不合格，主体工程即投入生产或者使用的处罚</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违法行为轻微，</w:t>
            </w:r>
            <w:r>
              <w:rPr>
                <w:rFonts w:hint="eastAsia" w:ascii="仿宋_GB2312" w:hAnsi="仿宋_GB2312" w:eastAsia="仿宋_GB2312" w:cs="仿宋_GB2312"/>
                <w:color w:val="auto"/>
                <w:sz w:val="24"/>
                <w:szCs w:val="24"/>
                <w:shd w:val="clear" w:color="auto" w:fill="FFFFFF"/>
              </w:rPr>
              <w:t>经责令在期限内改正的。不予行政处罚。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地质灾害防治条例》（2004年3月国务院令第394号）第四十一条违反本条例规定，建设单位有下列行为之一的，由县级以上地方人民政府国土资源主管部门责令限期改正；逾期不改正的，责令停止生产、施工或者使用，处10万元以上50万元以下的罚款；构成犯罪的，依法追究刑事责任：（一）未按照规定对地质灾害易发区内的建设工程进行地质灾害危险性评估的；（二）配套的地质灾害治理工程未经验收或者经验收不合格，主体工程即投入生产或者使用的。</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6</w:t>
            </w:r>
          </w:p>
        </w:tc>
        <w:tc>
          <w:tcPr>
            <w:tcW w:w="814"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对工程建设等人为活动引发的地质灾害不予治理的处罚</w:t>
            </w: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tc>
        <w:tc>
          <w:tcPr>
            <w:tcW w:w="1502"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违法行为轻微，</w:t>
            </w:r>
            <w:r>
              <w:rPr>
                <w:rFonts w:hint="eastAsia" w:ascii="仿宋_GB2312" w:hAnsi="仿宋_GB2312" w:eastAsia="仿宋_GB2312" w:cs="仿宋_GB2312"/>
                <w:color w:val="auto"/>
                <w:sz w:val="24"/>
                <w:szCs w:val="24"/>
                <w:shd w:val="clear" w:color="auto" w:fill="FFFFFF"/>
              </w:rPr>
              <w:t>经责令在期限内治理，并符合要求的不予行政处罚。</w:t>
            </w:r>
          </w:p>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地质灾害防治条例》（2004年3月国务院令第394号）第四十二条违反本条例规定，对工程建设等人为活动引发的地质灾害不予治理的，由县级以上人民政府国土资源主管部门责令限期治理；逾期不治理或者治理不符合要求的，由责令限期治理的国土资源主管部门组织治理，所需费用由责任单位承担，处10万元以上50万元以下的罚款；给他人造成损失的，依法承担赔偿责任。</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7</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对勘查、开采矿产资源造成地质环境破坏的处罚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违法行为轻微，</w:t>
            </w:r>
            <w:r>
              <w:rPr>
                <w:rFonts w:hint="eastAsia" w:ascii="仿宋_GB2312" w:hAnsi="仿宋_GB2312" w:eastAsia="仿宋_GB2312" w:cs="仿宋_GB2312"/>
                <w:color w:val="auto"/>
                <w:sz w:val="24"/>
                <w:szCs w:val="24"/>
                <w:shd w:val="clear" w:color="auto" w:fill="FFFFFF"/>
              </w:rPr>
              <w:t>经责令在期限内治理，并符合要求的不予行政处罚。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内蒙古自治区地质环境保护条例》（2003年7月通过，2021年7月修订）第三十九条违反本条例规定，勘查、开采矿产资源造成地质环境破坏的，由旗县级以上人民政府自然资源主管部门责令限期治理；逾期不治理或者治理不符合要求的，处10万元以上50万元以下的罚款，情节严重的，吊销勘查许可证、采矿许可证；构成犯罪的，依法追究刑事责任；给他人造成损失的，依法承担赔偿责任。</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8</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对不汇交测绘成果资料的处罚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违法行为轻微，</w:t>
            </w:r>
            <w:r>
              <w:rPr>
                <w:rFonts w:hint="eastAsia" w:ascii="仿宋_GB2312" w:hAnsi="仿宋_GB2312" w:eastAsia="仿宋_GB2312" w:cs="仿宋_GB2312"/>
                <w:color w:val="auto"/>
                <w:sz w:val="24"/>
                <w:szCs w:val="24"/>
                <w:shd w:val="clear" w:color="auto" w:fill="FFFFFF"/>
              </w:rPr>
              <w:t>经责令在限期内汇交的。不予行政处罚。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中华人民共和国测绘法》（1992年12月通过，2017年4月修订）第六十条违反本法规定，不汇交测绘成果资料的，责令限期汇交；测绘项目出资人逾期不汇交的，处重测所需费用一倍以上二倍以下的罚款；承担国家投资的测绘项目的单位逾期不汇交的，处五万元以上二十万元以下的罚款，并处暂扣测绘资质证书，自暂扣测绘资质证书之日起六个月内仍不汇交的，吊销测绘资质证书；对直接负责的主管人员和其他直接责任人员，依法给予处分。</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9</w:t>
            </w:r>
          </w:p>
        </w:tc>
        <w:tc>
          <w:tcPr>
            <w:tcW w:w="814"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对未经批准非法占用土地的处罚</w:t>
            </w:r>
          </w:p>
        </w:tc>
        <w:tc>
          <w:tcPr>
            <w:tcW w:w="1502" w:type="pct"/>
            <w:vAlign w:val="center"/>
          </w:tcPr>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初次违法且危害后果轻微，经责令在期限内改正的不予行政处罚。</w:t>
            </w:r>
          </w:p>
          <w:p>
            <w:pPr>
              <w:widowControl w:val="0"/>
              <w:kinsoku/>
              <w:autoSpaceDE/>
              <w:autoSpaceDN/>
              <w:adjustRightInd/>
              <w:snapToGrid/>
              <w:spacing w:line="240" w:lineRule="auto"/>
              <w:textAlignment w:val="auto"/>
              <w:rPr>
                <w:rFonts w:hint="eastAsia" w:ascii="仿宋_GB2312" w:hAnsi="仿宋_GB2312" w:eastAsia="仿宋_GB2312" w:cs="仿宋_GB2312"/>
                <w:color w:val="auto"/>
                <w:sz w:val="24"/>
                <w:szCs w:val="24"/>
                <w:shd w:val="clear" w:color="auto" w:fill="FFFFFF"/>
              </w:rPr>
            </w:pPr>
          </w:p>
        </w:tc>
        <w:tc>
          <w:tcPr>
            <w:tcW w:w="1798" w:type="pct"/>
            <w:vAlign w:val="center"/>
          </w:tcPr>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中华人民共和国土地管理法》（1986年6月通过，2019年8月修正）第七十七条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超过批准的数量占用土地，多占的土地以非法占用土地论处。</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第七十九条非法批准、使用的土地应当收回，有关当事人拒不归还的，以非法占用土地论处。</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2.《中华人民共和国行政处罚法》第三十三条第一款违法行为轻微并及时改正，没有造成危害后果的，不予行政处罚。初次违法且危害后果轻微并及时改正的，可以不予行政处罚。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3.《自然资源违法行为立案查处工作规程（试行）》4.3.1违法行为轻微并及时改正，没有造成危害后果的，不予行政处罚。初次违法且危害后果轻微并及时改正的，可以不予行政处罚。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4.《内蒙古自治区自然资源行政处罚裁量权基准适用规则》第八条有下列情形之一的，依法不予行政处罚：</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（一）违法行为轻微并及时改正，没有造成危害性后果的；</w:t>
            </w:r>
          </w:p>
          <w:p>
            <w:pPr>
              <w:kinsoku/>
              <w:autoSpaceDE/>
              <w:autoSpaceDN/>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第九条初次违法且危害后果轻微并及时改正的，可以不予行政处罚。</w:t>
            </w:r>
          </w:p>
        </w:tc>
        <w:tc>
          <w:tcPr>
            <w:tcW w:w="561" w:type="pct"/>
            <w:vAlign w:val="center"/>
          </w:tcPr>
          <w:p>
            <w:pPr>
              <w:widowControl w:val="0"/>
              <w:kinsoku/>
              <w:autoSpaceDE/>
              <w:autoSpaceDN/>
              <w:adjustRightInd/>
              <w:snapToGrid/>
              <w:spacing w:line="240" w:lineRule="auto"/>
              <w:jc w:val="distribute"/>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color w:val="auto"/>
                <w:sz w:val="24"/>
                <w:szCs w:val="24"/>
                <w:shd w:val="clear" w:color="auto" w:fill="FFFFFF"/>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widowControl w:val="0"/>
              <w:kinsoku/>
              <w:autoSpaceDE/>
              <w:autoSpaceDN/>
              <w:adjustRightInd/>
              <w:snapToGrid/>
              <w:spacing w:line="240" w:lineRule="auto"/>
              <w:jc w:val="center"/>
              <w:textAlignment w:val="auto"/>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color w:val="auto"/>
                <w:sz w:val="40"/>
                <w:szCs w:val="40"/>
                <w:shd w:val="clear" w:color="auto" w:fill="FFFFFF"/>
              </w:rPr>
              <w:t>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32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1</w:t>
            </w:r>
          </w:p>
        </w:tc>
        <w:tc>
          <w:tcPr>
            <w:tcW w:w="814" w:type="pct"/>
            <w:vAlign w:val="center"/>
          </w:tcPr>
          <w:p>
            <w:pPr>
              <w:spacing w:line="240" w:lineRule="auto"/>
              <w:textAlignment w:val="center"/>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机动车喷涂、粘贴标识或者车身广告影响安全驾驶</w:t>
            </w:r>
          </w:p>
        </w:tc>
        <w:tc>
          <w:tcPr>
            <w:tcW w:w="1502" w:type="pct"/>
            <w:vAlign w:val="center"/>
          </w:tcPr>
          <w:p>
            <w:pPr>
              <w:spacing w:line="240" w:lineRule="auto"/>
              <w:textAlignment w:val="center"/>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实行轻微交通违法行为，对现场发现未造成影响通行和安全后果且违法行为人立即纠正。</w:t>
            </w:r>
          </w:p>
        </w:tc>
        <w:tc>
          <w:tcPr>
            <w:tcW w:w="1798" w:type="pct"/>
            <w:vAlign w:val="center"/>
          </w:tcPr>
          <w:p>
            <w:pPr>
              <w:spacing w:line="240" w:lineRule="auto"/>
              <w:textAlignment w:val="center"/>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《中华人民共和国行政处罚法》第三十三条第一款规定：违法行为轻微并及时改正，没有造成危害后果的，不予行政处罚。初次违法且危害后果轻微并及时改正的，可以不予行政处罚。</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《中华人民共和国道路交通安全法实施条例》第十三条第三款  机动车喷涂、粘贴标识或者车身广告的，不得影响安全驾驶。</w:t>
            </w:r>
          </w:p>
        </w:tc>
        <w:tc>
          <w:tcPr>
            <w:tcW w:w="561" w:type="pct"/>
            <w:vAlign w:val="center"/>
          </w:tcPr>
          <w:p>
            <w:pPr>
              <w:spacing w:line="240" w:lineRule="auto"/>
              <w:textAlignment w:val="center"/>
              <w:rPr>
                <w:rFonts w:hint="eastAsia" w:ascii="仿宋_GB2312" w:hAnsi="仿宋_GB2312" w:eastAsia="仿宋_GB2312" w:cs="仿宋_GB2312"/>
                <w:color w:val="auto"/>
                <w:sz w:val="24"/>
                <w:szCs w:val="24"/>
                <w:shd w:val="clear" w:color="auto" w:fill="FFFFFF"/>
              </w:rPr>
            </w:pPr>
            <w:r>
              <w:rPr>
                <w:rFonts w:hint="eastAsia" w:ascii="仿宋_GB2312" w:hAnsi="仿宋_GB2312" w:eastAsia="仿宋_GB2312" w:cs="仿宋_GB2312"/>
                <w:sz w:val="24"/>
                <w:szCs w:val="24"/>
              </w:rPr>
              <w:t>包容观察、说服教育、谈话提醒、行政指导、行政告诫等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814" w:type="pct"/>
            <w:vAlign w:val="center"/>
          </w:tcPr>
          <w:p>
            <w:pPr>
              <w:spacing w:line="240" w:lineRule="auto"/>
              <w:textAlignment w:val="center"/>
              <w:rPr>
                <w:rFonts w:hint="eastAsia" w:ascii="仿宋_GB2312" w:hAnsi="仿宋_GB2312" w:eastAsia="仿宋_GB2312" w:cs="仿宋_GB2312"/>
                <w:color w:val="333333"/>
                <w:sz w:val="24"/>
                <w:szCs w:val="24"/>
              </w:rPr>
            </w:pPr>
            <w:r>
              <w:rPr>
                <w:rFonts w:hint="eastAsia" w:ascii="仿宋_GB2312" w:hAnsi="仿宋_GB2312" w:eastAsia="仿宋_GB2312" w:cs="仿宋_GB2312"/>
                <w:color w:val="333333"/>
                <w:sz w:val="24"/>
                <w:szCs w:val="24"/>
              </w:rPr>
              <w:t>驾驶室放置物品</w:t>
            </w:r>
            <w:r>
              <w:rPr>
                <w:rFonts w:hint="eastAsia" w:ascii="仿宋_GB2312" w:hAnsi="仿宋_GB2312" w:eastAsia="仿宋_GB2312" w:cs="仿宋_GB2312"/>
                <w:color w:val="333333"/>
                <w:sz w:val="24"/>
                <w:szCs w:val="24"/>
              </w:rPr>
              <w:br w:type="textWrapping"/>
            </w:r>
            <w:r>
              <w:rPr>
                <w:rFonts w:hint="eastAsia" w:ascii="仿宋_GB2312" w:hAnsi="仿宋_GB2312" w:eastAsia="仿宋_GB2312" w:cs="仿宋_GB2312"/>
                <w:color w:val="333333"/>
                <w:sz w:val="24"/>
                <w:szCs w:val="24"/>
              </w:rPr>
              <w:t>妨碍安全的；</w:t>
            </w:r>
            <w:r>
              <w:rPr>
                <w:rFonts w:hint="eastAsia" w:ascii="仿宋_GB2312" w:hAnsi="仿宋_GB2312" w:eastAsia="仿宋_GB2312" w:cs="仿宋_GB2312"/>
                <w:color w:val="333333"/>
                <w:sz w:val="24"/>
                <w:szCs w:val="24"/>
              </w:rPr>
              <w:br w:type="textWrapping"/>
            </w:r>
            <w:r>
              <w:rPr>
                <w:rFonts w:hint="eastAsia" w:ascii="仿宋_GB2312" w:hAnsi="仿宋_GB2312" w:eastAsia="仿宋_GB2312" w:cs="仿宋_GB2312"/>
                <w:color w:val="333333"/>
                <w:sz w:val="24"/>
                <w:szCs w:val="24"/>
              </w:rPr>
              <w:t>在车门、车厢没有关好时行车的违法</w:t>
            </w:r>
          </w:p>
        </w:tc>
        <w:tc>
          <w:tcPr>
            <w:tcW w:w="1502"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轻型货车、小型普通客车违法行为轻微，未影响安全通行，未造成后果的，经现场指出及时予以纠正。</w:t>
            </w:r>
          </w:p>
        </w:tc>
        <w:tc>
          <w:tcPr>
            <w:tcW w:w="1798" w:type="pct"/>
            <w:vAlign w:val="center"/>
          </w:tcPr>
          <w:p>
            <w:pPr>
              <w:spacing w:line="240" w:lineRule="auto"/>
              <w:textAlignment w:val="center"/>
              <w:rPr>
                <w:rFonts w:hint="eastAsia" w:ascii="仿宋_GB2312" w:hAnsi="仿宋_GB2312" w:eastAsia="仿宋_GB2312" w:cs="仿宋_GB2312"/>
                <w:color w:val="333333"/>
                <w:sz w:val="24"/>
                <w:szCs w:val="24"/>
              </w:rPr>
            </w:pPr>
            <w:r>
              <w:rPr>
                <w:rFonts w:hint="eastAsia" w:ascii="仿宋_GB2312" w:hAnsi="仿宋_GB2312" w:eastAsia="仿宋_GB2312" w:cs="仿宋_GB2312"/>
                <w:color w:val="333333"/>
                <w:sz w:val="24"/>
                <w:szCs w:val="24"/>
              </w:rPr>
              <w:t>《中华人民共和国行政处罚法》第三十三条第一款规定：违法行为轻微并及时改正，没有造成危害后果的，不予行政处罚。初次违法且危害后果轻微并及时改正的，可以不予行政处罚。</w:t>
            </w:r>
            <w:r>
              <w:rPr>
                <w:rFonts w:hint="eastAsia" w:ascii="仿宋_GB2312" w:hAnsi="仿宋_GB2312" w:eastAsia="仿宋_GB2312" w:cs="仿宋_GB2312"/>
                <w:color w:val="333333"/>
                <w:sz w:val="24"/>
                <w:szCs w:val="24"/>
              </w:rPr>
              <w:br w:type="textWrapping"/>
            </w:r>
            <w:r>
              <w:rPr>
                <w:rFonts w:hint="eastAsia" w:ascii="仿宋_GB2312" w:hAnsi="仿宋_GB2312" w:eastAsia="仿宋_GB2312" w:cs="仿宋_GB2312"/>
                <w:color w:val="333333"/>
                <w:sz w:val="24"/>
                <w:szCs w:val="24"/>
              </w:rPr>
              <w:t>《道路交通安全法实施条例》第六十二条第一项、第二项规定（一）在车门、车厢没有关好时行车；</w:t>
            </w:r>
            <w:r>
              <w:rPr>
                <w:rFonts w:hint="eastAsia" w:ascii="仿宋_GB2312" w:hAnsi="仿宋_GB2312" w:eastAsia="仿宋_GB2312" w:cs="仿宋_GB2312"/>
                <w:color w:val="333333"/>
                <w:sz w:val="24"/>
                <w:szCs w:val="24"/>
              </w:rPr>
              <w:br w:type="textWrapping"/>
            </w:r>
            <w:r>
              <w:rPr>
                <w:rFonts w:hint="eastAsia" w:ascii="仿宋_GB2312" w:hAnsi="仿宋_GB2312" w:eastAsia="仿宋_GB2312" w:cs="仿宋_GB2312"/>
                <w:color w:val="333333"/>
                <w:sz w:val="24"/>
                <w:szCs w:val="24"/>
              </w:rPr>
              <w:t>（二）在机动车驾驶室的前后窗范围内悬挂、放置妨碍驾驶人视线的物品。</w:t>
            </w:r>
          </w:p>
        </w:tc>
        <w:tc>
          <w:tcPr>
            <w:tcW w:w="561"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包容观察、说服教育、谈话提醒、行政指导、行政告诫等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814" w:type="pct"/>
            <w:vAlign w:val="center"/>
          </w:tcPr>
          <w:p>
            <w:pPr>
              <w:spacing w:line="240" w:lineRule="auto"/>
              <w:textAlignment w:val="center"/>
              <w:rPr>
                <w:rFonts w:hint="eastAsia" w:ascii="仿宋_GB2312" w:hAnsi="仿宋_GB2312" w:eastAsia="仿宋_GB2312" w:cs="仿宋_GB2312"/>
                <w:color w:val="333333"/>
                <w:sz w:val="24"/>
                <w:szCs w:val="24"/>
              </w:rPr>
            </w:pPr>
            <w:r>
              <w:rPr>
                <w:rFonts w:hint="eastAsia" w:ascii="仿宋_GB2312" w:hAnsi="仿宋_GB2312" w:eastAsia="仿宋_GB2312" w:cs="仿宋_GB2312"/>
                <w:color w:val="333333"/>
                <w:sz w:val="24"/>
                <w:szCs w:val="24"/>
              </w:rPr>
              <w:t>机动车在没有划分机动车道、非机动车道和人行道的道路上，不在道路中间通行的</w:t>
            </w:r>
          </w:p>
        </w:tc>
        <w:tc>
          <w:tcPr>
            <w:tcW w:w="1502"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实行轻微交通违法行为，对现场发现未造成影响通行和安全后果且违法行为人立即纠正。</w:t>
            </w:r>
          </w:p>
        </w:tc>
        <w:tc>
          <w:tcPr>
            <w:tcW w:w="1798"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《中华人民共和国行政处罚法》第三十三条第一款规定：违法行为轻微并及时改正，没有造成危害后果的，不予行政处罚。初次违法且危害后果轻微并及时改正的，可以不予行政处罚。</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《中华人民共和国道路交通安全法》第三十六条规定。</w:t>
            </w:r>
          </w:p>
        </w:tc>
        <w:tc>
          <w:tcPr>
            <w:tcW w:w="561"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包容观察、说服教育、谈话提醒、行政指导、行政告诫等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814"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未按规定喷涂放大的牌号的违法</w:t>
            </w:r>
          </w:p>
        </w:tc>
        <w:tc>
          <w:tcPr>
            <w:tcW w:w="1502"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轻型货车，装载不可解体物品货车违法行为轻微，未影响安全通行，未造成后果的，经现场指出及时予以纠正。</w:t>
            </w:r>
          </w:p>
        </w:tc>
        <w:tc>
          <w:tcPr>
            <w:tcW w:w="1798"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《中华人民共和国行政处罚法》第三十三条第一款规定：违法行为轻微并及时改正，没有造成危害后果的，不予行政处罚。初次违法且危害后果轻微并及时改正的，可以不予行政处罚。</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《中华人民共和国道路交通安全法》第十一条</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驾驶机动车上道路行驶，应当悬挂机动车号牌，放置检验合格标志、保险标志，并随车携带机动车行驶证。</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机动车号牌应当按照规定悬挂并保持清晰、完整，不得故意遮挡、污损。</w:t>
            </w:r>
          </w:p>
        </w:tc>
        <w:tc>
          <w:tcPr>
            <w:tcW w:w="561"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包容观察、说服教育、谈话提醒、行政指导、行政告诫等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814"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挂车机件不全的违法</w:t>
            </w:r>
          </w:p>
        </w:tc>
        <w:tc>
          <w:tcPr>
            <w:tcW w:w="1502"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轻型货车，装载不可解体物品货车违法行为轻微，未影响安全通行，未造成后果的，经现场指出及时予以纠正。</w:t>
            </w:r>
          </w:p>
        </w:tc>
        <w:tc>
          <w:tcPr>
            <w:tcW w:w="1798"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《中华人民共和国行政处罚法》第三十三条第一款规定：违法行为轻微并及时改正，没有造成危害后果的，不予行政处罚。初次违法且危害后果轻微并及时改正的，可以不予行政处罚。</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《中华人民共和国道路交通安全法》第二十一条驾驶人驾驶机动车上道路行驶前，应当对机动车的安全技术性能进行认真检查；不得驾驶安全设施不全或者机件不符合技术标准等具有安全隐患的机动车。</w:t>
            </w:r>
          </w:p>
        </w:tc>
        <w:tc>
          <w:tcPr>
            <w:tcW w:w="561"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包容观察、说服教育、谈话提醒、行政指导、行政告诫等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814"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违反治安管理的行为</w:t>
            </w:r>
          </w:p>
        </w:tc>
        <w:tc>
          <w:tcPr>
            <w:tcW w:w="1502"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不满十四周岁的人违反治安管理的，不予处罚</w:t>
            </w:r>
          </w:p>
        </w:tc>
        <w:tc>
          <w:tcPr>
            <w:tcW w:w="1798"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《中华人民共和国治安管理处罚法》第十二条 已满十四周岁不满十八周岁的人违反治安管理的，从轻或者减轻处罚；不满十四周岁的人违反治安管理的，不予处罚，但是应当责令其监护人严加管教。</w:t>
            </w:r>
          </w:p>
        </w:tc>
        <w:tc>
          <w:tcPr>
            <w:tcW w:w="561"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责令其监护人严加管教，说服教育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w:t>
            </w:r>
          </w:p>
        </w:tc>
        <w:tc>
          <w:tcPr>
            <w:tcW w:w="814"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违反治安管理的行为</w:t>
            </w:r>
          </w:p>
        </w:tc>
        <w:tc>
          <w:tcPr>
            <w:tcW w:w="1502"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精神病人在不能辨认或者不能控制自己行为的时候违反治安管理的</w:t>
            </w:r>
          </w:p>
        </w:tc>
        <w:tc>
          <w:tcPr>
            <w:tcW w:w="1798"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华人民共和国治安管理处罚法》第十三条 精神病人在不能辨认或者不能控制自己行为的时候违反治安管理的，不予处罚，但是应当责令其监护人严加看管和治疗。间歇性的精神病人在精神正常的时候违反治安管理的，应当给予处罚。</w:t>
            </w:r>
          </w:p>
        </w:tc>
        <w:tc>
          <w:tcPr>
            <w:tcW w:w="561"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责令其监护人严加看管和治疗、说服教育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p>
        </w:tc>
        <w:tc>
          <w:tcPr>
            <w:tcW w:w="814"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违反治安管理的行为</w:t>
            </w:r>
          </w:p>
        </w:tc>
        <w:tc>
          <w:tcPr>
            <w:tcW w:w="1502"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 盲人或者又聋又哑的人违反治安管理的</w:t>
            </w:r>
          </w:p>
        </w:tc>
        <w:tc>
          <w:tcPr>
            <w:tcW w:w="1798"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《中华人民共和国治安管理处罚法》第十四条 盲人或者又聋又哑的人违反治安管理的，可以从轻、减轻或者不予处罚。</w:t>
            </w:r>
          </w:p>
        </w:tc>
        <w:tc>
          <w:tcPr>
            <w:tcW w:w="561"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包容观察、说服教育、谈话提醒、行政指导、行政告诫等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w:t>
            </w:r>
          </w:p>
        </w:tc>
        <w:tc>
          <w:tcPr>
            <w:tcW w:w="814"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违反治安管理的行为</w:t>
            </w:r>
          </w:p>
        </w:tc>
        <w:tc>
          <w:tcPr>
            <w:tcW w:w="1502"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(一)情节特别轻微的；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(二)主动消除或者减轻违法后果，并取得被侵害人谅解的；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(三)出于他人胁迫或者诱骗的；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(四)主动投案，向公安机关如实陈述自己的违法行为的；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(五)有立功表现的。</w:t>
            </w:r>
          </w:p>
        </w:tc>
        <w:tc>
          <w:tcPr>
            <w:tcW w:w="1798"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《中华人民共和国治安管理处罚法》第十九条 违反治安管理有下列情形之一的，减轻处罚或者不予处罚：</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(一)情节特别轻微的；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(二)主动消除或者减轻违法后果，并取得被侵害人谅解的；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(三)出于他人胁迫或者诱骗的；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(四)主动投案，向公安机关如实陈述自己的违法行为的；</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sz w:val="24"/>
                <w:szCs w:val="24"/>
              </w:rPr>
              <w:t>(五)有立功表现的。</w:t>
            </w:r>
          </w:p>
        </w:tc>
        <w:tc>
          <w:tcPr>
            <w:tcW w:w="561" w:type="pct"/>
            <w:vAlign w:val="center"/>
          </w:tcPr>
          <w:p>
            <w:pPr>
              <w:spacing w:line="240" w:lineRule="auto"/>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说服教育、谈话提醒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spacing w:line="240" w:lineRule="auto"/>
              <w:jc w:val="center"/>
              <w:textAlignment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lang w:eastAsia="zh-CN"/>
              </w:rPr>
              <w:t>农牧水利科技局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1</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未按照规定保存养殖档案的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2.危害后果轻微3.3.主动改正且符合要求的或在农牧水利科技部门责令期限内改正且符合要求的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sz w:val="24"/>
                <w:szCs w:val="24"/>
                <w:lang w:val="en-US" w:eastAsia="zh-CN" w:bidi="ar"/>
              </w:rPr>
              <w:t>2</w:t>
            </w:r>
            <w:r>
              <w:rPr>
                <w:rStyle w:val="19"/>
                <w:rFonts w:hint="eastAsia" w:ascii="仿宋_GB2312" w:hAnsi="仿宋_GB2312" w:eastAsia="仿宋_GB2312" w:cs="仿宋_GB2312"/>
                <w:b w:val="0"/>
                <w:bCs w:val="0"/>
                <w:sz w:val="24"/>
                <w:szCs w:val="24"/>
                <w:lang w:val="en-US" w:eastAsia="zh-CN" w:bidi="ar"/>
              </w:rPr>
              <w:t xml:space="preserve">.《中华人民共和国畜牧法》（2022年10月修订）                         第六十六条 </w:t>
            </w:r>
            <w:r>
              <w:rPr>
                <w:rStyle w:val="18"/>
                <w:rFonts w:hint="eastAsia" w:ascii="仿宋_GB2312" w:hAnsi="仿宋_GB2312" w:eastAsia="仿宋_GB2312" w:cs="仿宋_GB2312"/>
                <w:sz w:val="24"/>
                <w:szCs w:val="24"/>
                <w:lang w:val="en-US" w:eastAsia="zh-CN" w:bidi="ar"/>
              </w:rPr>
              <w:t>“违反本法第四十一条规定，畜禽养殖场未建立养殖档案的，或者未按照规定保存养殖档案的，由县级以上人民政府畜牧兽医行政主管部门责令限期改正，可以处一万元以下罚款。</w:t>
            </w:r>
            <w:r>
              <w:rPr>
                <w:rStyle w:val="19"/>
                <w:rFonts w:hint="eastAsia" w:ascii="仿宋_GB2312" w:hAnsi="仿宋_GB2312" w:eastAsia="仿宋_GB2312" w:cs="仿宋_GB2312"/>
                <w:b w:val="0"/>
                <w:bCs w:val="0"/>
                <w:sz w:val="24"/>
                <w:szCs w:val="24"/>
                <w:lang w:val="en-US" w:eastAsia="zh-CN" w:bidi="ar"/>
              </w:rPr>
              <w:t>第四十一条</w:t>
            </w:r>
            <w:r>
              <w:rPr>
                <w:rStyle w:val="18"/>
                <w:rFonts w:hint="eastAsia" w:ascii="仿宋_GB2312" w:hAnsi="仿宋_GB2312" w:eastAsia="仿宋_GB2312" w:cs="仿宋_GB2312"/>
                <w:b w:val="0"/>
                <w:bCs w:val="0"/>
                <w:sz w:val="24"/>
                <w:szCs w:val="24"/>
                <w:lang w:val="en-US" w:eastAsia="zh-CN" w:bidi="ar"/>
              </w:rPr>
              <w:t>　</w:t>
            </w:r>
            <w:r>
              <w:rPr>
                <w:rStyle w:val="18"/>
                <w:rFonts w:hint="eastAsia" w:ascii="仿宋_GB2312" w:hAnsi="仿宋_GB2312" w:eastAsia="仿宋_GB2312" w:cs="仿宋_GB2312"/>
                <w:sz w:val="24"/>
                <w:szCs w:val="24"/>
                <w:lang w:val="en-US" w:eastAsia="zh-CN" w:bidi="ar"/>
              </w:rPr>
              <w:t>畜禽养殖场应当建立养殖档案，载明下列内容：</w:t>
            </w:r>
            <w:r>
              <w:rPr>
                <w:rStyle w:val="18"/>
                <w:rFonts w:hint="eastAsia" w:ascii="仿宋_GB2312" w:hAnsi="仿宋_GB2312" w:eastAsia="仿宋_GB2312" w:cs="仿宋_GB2312"/>
                <w:sz w:val="24"/>
                <w:szCs w:val="24"/>
                <w:lang w:val="en-US" w:eastAsia="zh-CN" w:bidi="ar"/>
              </w:rPr>
              <w:br w:type="textWrapping"/>
            </w:r>
            <w:r>
              <w:rPr>
                <w:rStyle w:val="18"/>
                <w:rFonts w:hint="eastAsia" w:ascii="仿宋_GB2312" w:hAnsi="仿宋_GB2312" w:eastAsia="仿宋_GB2312" w:cs="仿宋_GB2312"/>
                <w:sz w:val="24"/>
                <w:szCs w:val="24"/>
                <w:lang w:val="en-US" w:eastAsia="zh-CN" w:bidi="ar"/>
              </w:rPr>
              <w:t>（一）畜禽的品种、数量、繁殖记录、标识情况、来源和进出场日期；</w:t>
            </w:r>
            <w:r>
              <w:rPr>
                <w:rStyle w:val="18"/>
                <w:rFonts w:hint="eastAsia" w:ascii="仿宋_GB2312" w:hAnsi="仿宋_GB2312" w:eastAsia="仿宋_GB2312" w:cs="仿宋_GB2312"/>
                <w:sz w:val="24"/>
                <w:szCs w:val="24"/>
                <w:lang w:val="en-US" w:eastAsia="zh-CN" w:bidi="ar"/>
              </w:rPr>
              <w:br w:type="textWrapping"/>
            </w:r>
            <w:r>
              <w:rPr>
                <w:rStyle w:val="18"/>
                <w:rFonts w:hint="eastAsia" w:ascii="仿宋_GB2312" w:hAnsi="仿宋_GB2312" w:eastAsia="仿宋_GB2312" w:cs="仿宋_GB2312"/>
                <w:sz w:val="24"/>
                <w:szCs w:val="24"/>
                <w:lang w:val="en-US" w:eastAsia="zh-CN" w:bidi="ar"/>
              </w:rPr>
              <w:t>（二）饲料、饲料添加剂、兽药等投入品的来源、名称、使用对象、时间和用量；</w:t>
            </w:r>
            <w:r>
              <w:rPr>
                <w:rStyle w:val="18"/>
                <w:rFonts w:hint="eastAsia" w:ascii="仿宋_GB2312" w:hAnsi="仿宋_GB2312" w:eastAsia="仿宋_GB2312" w:cs="仿宋_GB2312"/>
                <w:sz w:val="24"/>
                <w:szCs w:val="24"/>
                <w:lang w:val="en-US" w:eastAsia="zh-CN" w:bidi="ar"/>
              </w:rPr>
              <w:br w:type="textWrapping"/>
            </w:r>
            <w:r>
              <w:rPr>
                <w:rStyle w:val="18"/>
                <w:rFonts w:hint="eastAsia" w:ascii="仿宋_GB2312" w:hAnsi="仿宋_GB2312" w:eastAsia="仿宋_GB2312" w:cs="仿宋_GB2312"/>
                <w:sz w:val="24"/>
                <w:szCs w:val="24"/>
                <w:lang w:val="en-US" w:eastAsia="zh-CN" w:bidi="ar"/>
              </w:rPr>
              <w:t>（三）检疫、免疫、消毒情况；</w:t>
            </w:r>
            <w:r>
              <w:rPr>
                <w:rStyle w:val="18"/>
                <w:rFonts w:hint="eastAsia" w:ascii="仿宋_GB2312" w:hAnsi="仿宋_GB2312" w:eastAsia="仿宋_GB2312" w:cs="仿宋_GB2312"/>
                <w:sz w:val="24"/>
                <w:szCs w:val="24"/>
                <w:lang w:val="en-US" w:eastAsia="zh-CN" w:bidi="ar"/>
              </w:rPr>
              <w:br w:type="textWrapping"/>
            </w:r>
            <w:r>
              <w:rPr>
                <w:rStyle w:val="18"/>
                <w:rFonts w:hint="eastAsia" w:ascii="仿宋_GB2312" w:hAnsi="仿宋_GB2312" w:eastAsia="仿宋_GB2312" w:cs="仿宋_GB2312"/>
                <w:sz w:val="24"/>
                <w:szCs w:val="24"/>
                <w:lang w:val="en-US" w:eastAsia="zh-CN" w:bidi="ar"/>
              </w:rPr>
              <w:t>（四）畜禽发病、死亡和无害化处理情况；</w:t>
            </w:r>
            <w:r>
              <w:rPr>
                <w:rStyle w:val="18"/>
                <w:rFonts w:hint="eastAsia" w:ascii="仿宋_GB2312" w:hAnsi="仿宋_GB2312" w:eastAsia="仿宋_GB2312" w:cs="仿宋_GB2312"/>
                <w:sz w:val="24"/>
                <w:szCs w:val="24"/>
                <w:lang w:val="en-US" w:eastAsia="zh-CN" w:bidi="ar"/>
              </w:rPr>
              <w:br w:type="textWrapping"/>
            </w:r>
            <w:r>
              <w:rPr>
                <w:rStyle w:val="18"/>
                <w:rFonts w:hint="eastAsia" w:ascii="仿宋_GB2312" w:hAnsi="仿宋_GB2312" w:eastAsia="仿宋_GB2312" w:cs="仿宋_GB2312"/>
                <w:sz w:val="24"/>
                <w:szCs w:val="24"/>
                <w:lang w:val="en-US" w:eastAsia="zh-CN" w:bidi="ar"/>
              </w:rPr>
              <w:t>（五）畜禽粪污收集、储存、无害化处理和资源化利用情况；</w:t>
            </w:r>
            <w:r>
              <w:rPr>
                <w:rStyle w:val="18"/>
                <w:rFonts w:hint="eastAsia" w:ascii="仿宋_GB2312" w:hAnsi="仿宋_GB2312" w:eastAsia="仿宋_GB2312" w:cs="仿宋_GB2312"/>
                <w:sz w:val="24"/>
                <w:szCs w:val="24"/>
                <w:lang w:val="en-US" w:eastAsia="zh-CN" w:bidi="ar"/>
              </w:rPr>
              <w:br w:type="textWrapping"/>
            </w:r>
            <w:r>
              <w:rPr>
                <w:rStyle w:val="18"/>
                <w:rFonts w:hint="eastAsia" w:ascii="仿宋_GB2312" w:hAnsi="仿宋_GB2312" w:eastAsia="仿宋_GB2312" w:cs="仿宋_GB2312"/>
                <w:sz w:val="24"/>
                <w:szCs w:val="24"/>
                <w:lang w:val="en-US" w:eastAsia="zh-CN" w:bidi="ar"/>
              </w:rPr>
              <w:t>（六）国务院农业农村主管部门规定的其他内容。</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2</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关于违反农产品质量安全追溯规定的 </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2.危害后果轻微3.4.主动改正且符合要求的或在农牧水利科技部门责令期限内改正且符合要求的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b w:val="0"/>
                <w:bCs w:val="0"/>
                <w:sz w:val="24"/>
                <w:szCs w:val="24"/>
                <w:lang w:val="en-US" w:eastAsia="zh-CN" w:bidi="ar"/>
              </w:rPr>
              <w:t>2.《中华人民共和国农产品质量安全法》（2022年9月修订）第四十一条</w:t>
            </w:r>
            <w:r>
              <w:rPr>
                <w:rStyle w:val="18"/>
                <w:rFonts w:hint="eastAsia" w:ascii="仿宋_GB2312" w:hAnsi="仿宋_GB2312" w:eastAsia="仿宋_GB2312" w:cs="仿宋_GB2312"/>
                <w:sz w:val="24"/>
                <w:szCs w:val="24"/>
                <w:lang w:val="en-US" w:eastAsia="zh-CN" w:bidi="ar"/>
              </w:rPr>
              <w:t>“国家对列入农产品质量安全追溯目录的农产品实施追溯管理。国务院农业农村主管部门应当会同国务院市场监督管理等部门建立农产品质量安全追溯协作机制。农产品质量安全追溯管理办法和追溯目录由国务院农业农村主管部门会同国务院市场监督管理等部门制定。</w:t>
            </w:r>
            <w:r>
              <w:rPr>
                <w:rStyle w:val="18"/>
                <w:rFonts w:hint="eastAsia" w:ascii="仿宋_GB2312" w:hAnsi="仿宋_GB2312" w:eastAsia="仿宋_GB2312" w:cs="仿宋_GB2312"/>
                <w:sz w:val="24"/>
                <w:szCs w:val="24"/>
                <w:lang w:val="en-US" w:eastAsia="zh-CN" w:bidi="ar"/>
              </w:rPr>
              <w:br w:type="textWrapping"/>
            </w:r>
            <w:r>
              <w:rPr>
                <w:rStyle w:val="18"/>
                <w:rFonts w:hint="eastAsia" w:ascii="仿宋_GB2312" w:hAnsi="仿宋_GB2312" w:eastAsia="仿宋_GB2312" w:cs="仿宋_GB2312"/>
                <w:sz w:val="24"/>
                <w:szCs w:val="24"/>
                <w:lang w:val="en-US" w:eastAsia="zh-CN" w:bidi="ar"/>
              </w:rPr>
              <w:t>国家鼓励具备信息化条件的农产品生产经营者采用现代信息技术手段采集、留存生产记录、购销记录等生产经营信息。”</w:t>
            </w:r>
            <w:r>
              <w:rPr>
                <w:rStyle w:val="18"/>
                <w:rFonts w:hint="eastAsia" w:ascii="仿宋_GB2312" w:hAnsi="仿宋_GB2312" w:eastAsia="仿宋_GB2312" w:cs="仿宋_GB2312"/>
                <w:sz w:val="24"/>
                <w:szCs w:val="24"/>
                <w:lang w:val="en-US" w:eastAsia="zh-CN" w:bidi="ar"/>
              </w:rPr>
              <w:br w:type="textWrapping"/>
            </w:r>
            <w:r>
              <w:rPr>
                <w:rStyle w:val="19"/>
                <w:rFonts w:hint="eastAsia" w:ascii="仿宋_GB2312" w:hAnsi="仿宋_GB2312" w:eastAsia="仿宋_GB2312" w:cs="仿宋_GB2312"/>
                <w:b w:val="0"/>
                <w:bCs w:val="0"/>
                <w:sz w:val="24"/>
                <w:szCs w:val="24"/>
                <w:lang w:val="en-US" w:eastAsia="zh-CN" w:bidi="ar"/>
              </w:rPr>
              <w:t>第七十五条</w:t>
            </w:r>
            <w:r>
              <w:rPr>
                <w:rStyle w:val="18"/>
                <w:rFonts w:hint="eastAsia" w:ascii="仿宋_GB2312" w:hAnsi="仿宋_GB2312" w:eastAsia="仿宋_GB2312" w:cs="仿宋_GB2312"/>
                <w:sz w:val="24"/>
                <w:szCs w:val="24"/>
                <w:lang w:val="en-US" w:eastAsia="zh-CN" w:bidi="ar"/>
              </w:rPr>
              <w:t xml:space="preserve">　违反本法关于农产品质量安全追溯规定的，由县级以上地方人民政府农业农村主管部门按照职责责令限期改正；逾期不改正的，可以处一万元以下罚款。   </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3</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农民专业合作经济组织未按规定保存农产品生产记录的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2.危害后果轻微3.5.主动改正且符合要求的或在农牧水利科技部门责令期限内改正且符合要求的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sz w:val="24"/>
                <w:szCs w:val="24"/>
                <w:lang w:val="en-US" w:eastAsia="zh-CN" w:bidi="ar"/>
              </w:rPr>
              <w:t>2</w:t>
            </w:r>
            <w:r>
              <w:rPr>
                <w:rStyle w:val="19"/>
                <w:rFonts w:hint="eastAsia" w:ascii="仿宋_GB2312" w:hAnsi="仿宋_GB2312" w:eastAsia="仿宋_GB2312" w:cs="仿宋_GB2312"/>
                <w:b w:val="0"/>
                <w:bCs w:val="0"/>
                <w:sz w:val="24"/>
                <w:szCs w:val="24"/>
                <w:lang w:val="en-US" w:eastAsia="zh-CN" w:bidi="ar"/>
              </w:rPr>
              <w:t>.《中华人民共和国动物防疫法》（2021年1月修订）第九十二条</w:t>
            </w:r>
            <w:r>
              <w:rPr>
                <w:rStyle w:val="18"/>
                <w:rFonts w:hint="eastAsia" w:ascii="仿宋_GB2312" w:hAnsi="仿宋_GB2312" w:eastAsia="仿宋_GB2312" w:cs="仿宋_GB2312"/>
                <w:sz w:val="24"/>
                <w:szCs w:val="24"/>
                <w:lang w:val="en-US" w:eastAsia="zh-CN" w:bidi="ar"/>
              </w:rPr>
              <w:t>　违反本法规定，（三）对饲养的犬只未按照规定定期进行狂犬病免疫接种的，由县级以上地人民政府农业农村主管部门责令限期改正，可以处一千元以下罚款；逾期不改正的，处一千元以上五千元以下罚款，由县级以上地方人民政府农业农村主管部门委托动物诊疗机构、无害化处理场所等代为处理，所需费用由违法行为人承担。</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4</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销售的农产品未按照规定进行包装、标识的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2.危害后果轻微3.6.主动改正且符合要求的或在农牧水利科技部门责令期限内改正且符合要求的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b w:val="0"/>
                <w:bCs w:val="0"/>
                <w:sz w:val="24"/>
                <w:szCs w:val="24"/>
                <w:lang w:val="en-US" w:eastAsia="zh-CN" w:bidi="ar"/>
              </w:rPr>
              <w:t>《中华人民共和国农产品质量安全法》第四十八条</w:t>
            </w:r>
            <w:r>
              <w:rPr>
                <w:rStyle w:val="18"/>
                <w:rFonts w:hint="eastAsia" w:ascii="仿宋_GB2312" w:hAnsi="仿宋_GB2312" w:eastAsia="仿宋_GB2312" w:cs="仿宋_GB2312"/>
                <w:sz w:val="24"/>
                <w:szCs w:val="24"/>
                <w:lang w:val="en-US" w:eastAsia="zh-CN" w:bidi="ar"/>
              </w:rPr>
              <w:t>“违反本法第二十八条规定，销售的农产品未按照规定进行包装、标识的，责令限期改正；逾期不改正的，可以处二千元以下罚款。”</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5</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农业投入品使用者为个人未及时回收肥料等农业投入品的包装废弃物的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2.危害后果轻微3.7.主动改正且符合要求的或在农牧水利科技部门责令期限内改正且符合要求的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b w:val="0"/>
                <w:bCs w:val="0"/>
                <w:sz w:val="24"/>
                <w:szCs w:val="24"/>
                <w:lang w:val="en-US" w:eastAsia="zh-CN" w:bidi="ar"/>
              </w:rPr>
              <w:t>《中华人民共和国土壤污染防治法》第八十八条</w:t>
            </w:r>
            <w:r>
              <w:rPr>
                <w:rStyle w:val="18"/>
                <w:rFonts w:hint="eastAsia" w:ascii="仿宋_GB2312" w:hAnsi="仿宋_GB2312" w:eastAsia="仿宋_GB2312" w:cs="仿宋_GB2312"/>
                <w:sz w:val="24"/>
                <w:szCs w:val="24"/>
                <w:lang w:val="en-US" w:eastAsia="zh-CN" w:bidi="ar"/>
              </w:rPr>
              <w:t>“违反本法规定，农业投入品生产者、销售者、使用者未按照规定及时回收肥料等农业投入品的包装废弃物或者农用薄膜，或者未按照规定及时回收农药包装废弃物交由专门的机构或者组织进行无害化处理的，由地方人民政府农业农村主管部门责令改正，处一万元以上十万元以下的罚款；农业投入品使用者为个人的，可以处二百元以上二千元以下的罚款。”</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6</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对饲养的犬只未按照规定定期进行狂犬病免疫接种的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2.危害后果轻微3.8.主动改正且符合要求的或在农牧水利科技部门责令期限内改正且符合要求的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b w:val="0"/>
                <w:bCs w:val="0"/>
                <w:sz w:val="24"/>
                <w:szCs w:val="24"/>
                <w:lang w:val="en-US" w:eastAsia="zh-CN" w:bidi="ar"/>
              </w:rPr>
              <w:t>《中华人民共和国动物防疫法》第九十二条</w:t>
            </w:r>
            <w:r>
              <w:rPr>
                <w:rStyle w:val="19"/>
                <w:rFonts w:hint="eastAsia" w:ascii="仿宋_GB2312" w:hAnsi="仿宋_GB2312" w:eastAsia="仿宋_GB2312" w:cs="仿宋_GB2312"/>
                <w:sz w:val="24"/>
                <w:szCs w:val="24"/>
                <w:lang w:val="en-US" w:eastAsia="zh-CN" w:bidi="ar"/>
              </w:rPr>
              <w:t>　</w:t>
            </w:r>
            <w:r>
              <w:rPr>
                <w:rStyle w:val="18"/>
                <w:rFonts w:hint="eastAsia" w:ascii="仿宋_GB2312" w:hAnsi="仿宋_GB2312" w:eastAsia="仿宋_GB2312" w:cs="仿宋_GB2312"/>
                <w:sz w:val="24"/>
                <w:szCs w:val="24"/>
                <w:lang w:val="en-US" w:eastAsia="zh-CN" w:bidi="ar"/>
              </w:rPr>
              <w:t>违反本法规定，有下列行为之一的，由县级以上地方人民政府农业农村主管部门责令限期改正，可以处一千元以下罚款；逾期不改正的，处一千元以上五千元以下罚款，由县级以上地方人民政府农业农村主管部门委托动物诊疗机构、无害化处理场所等代为处理，所需费用由违法行为人承担：对饲养的犬只未按照规定定期进行狂犬病免疫接种的。</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7</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计量设施不合格或者运行不正常的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2.危害后果轻微3.9.主动改正且符合要求的或在农牧水利科技部门责令期限内改正且符合要求的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b w:val="0"/>
                <w:bCs w:val="0"/>
                <w:sz w:val="24"/>
                <w:szCs w:val="24"/>
                <w:lang w:val="en-US" w:eastAsia="zh-CN" w:bidi="ar"/>
              </w:rPr>
              <w:t>《取水许可和水资源费征收管理条例》第五十三条</w:t>
            </w:r>
            <w:r>
              <w:rPr>
                <w:rStyle w:val="19"/>
                <w:rFonts w:hint="eastAsia" w:ascii="仿宋_GB2312" w:hAnsi="仿宋_GB2312" w:eastAsia="仿宋_GB2312" w:cs="仿宋_GB2312"/>
                <w:sz w:val="24"/>
                <w:szCs w:val="24"/>
                <w:lang w:val="en-US" w:eastAsia="zh-CN" w:bidi="ar"/>
              </w:rPr>
              <w:t>　</w:t>
            </w:r>
            <w:r>
              <w:rPr>
                <w:rStyle w:val="18"/>
                <w:rFonts w:hint="eastAsia" w:ascii="仿宋_GB2312" w:hAnsi="仿宋_GB2312" w:eastAsia="仿宋_GB2312" w:cs="仿宋_GB2312"/>
                <w:sz w:val="24"/>
                <w:szCs w:val="24"/>
                <w:lang w:val="en-US" w:eastAsia="zh-CN" w:bidi="ar"/>
              </w:rPr>
              <w:t>计量设施不合格或者运行不正常的，责令限期更换或者修复；逾期不更换或者不修复的，按照日最大取水能力计算的取水量和水资源费征收标准计征水资源费，可以处1万元以下罚款；情节严重的，吊销取水许可证。</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8</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8、未经批准在河道滩地存放物料的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2.危害后果轻微3.10.主动改正且符合要求的或在农牧水利科技部门责令期限内改正且符合要求的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b w:val="0"/>
                <w:bCs w:val="0"/>
                <w:sz w:val="24"/>
                <w:szCs w:val="24"/>
                <w:lang w:val="en-US" w:eastAsia="zh-CN" w:bidi="ar"/>
              </w:rPr>
              <w:t>《中华人民共和国河道管理条例》第四十四条</w:t>
            </w:r>
            <w:r>
              <w:rPr>
                <w:rStyle w:val="19"/>
                <w:rFonts w:hint="eastAsia" w:ascii="仿宋_GB2312" w:hAnsi="仿宋_GB2312" w:eastAsia="仿宋_GB2312" w:cs="仿宋_GB2312"/>
                <w:sz w:val="24"/>
                <w:szCs w:val="24"/>
                <w:lang w:val="en-US" w:eastAsia="zh-CN" w:bidi="ar"/>
              </w:rPr>
              <w:t>　</w:t>
            </w:r>
            <w:r>
              <w:rPr>
                <w:rStyle w:val="18"/>
                <w:rFonts w:hint="eastAsia" w:ascii="仿宋_GB2312" w:hAnsi="仿宋_GB2312" w:eastAsia="仿宋_GB2312" w:cs="仿宋_GB2312"/>
                <w:sz w:val="24"/>
                <w:szCs w:val="24"/>
                <w:lang w:val="en-US" w:eastAsia="zh-CN" w:bidi="ar"/>
              </w:rPr>
              <w:t>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五）未经批准在河道滩地存放物料、修建厂房或者其他建筑设施，以及开采地下资源或者进行考古发掘的；</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9</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违反《中华人民共和国河道管理条例》第二十七条的规定，围垦湖泊、河流的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2.危害后果轻微3.11.主动改正且符合要求的或在农牧水利科技部门责令期限内改正且符合要求的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b w:val="0"/>
                <w:bCs w:val="0"/>
                <w:sz w:val="24"/>
                <w:szCs w:val="24"/>
                <w:lang w:val="en-US" w:eastAsia="zh-CN" w:bidi="ar"/>
              </w:rPr>
              <w:t>《中华人民共和国河道管理条例》第四十四条</w:t>
            </w:r>
            <w:r>
              <w:rPr>
                <w:rStyle w:val="18"/>
                <w:rFonts w:hint="eastAsia" w:ascii="仿宋_GB2312" w:hAnsi="仿宋_GB2312" w:eastAsia="仿宋_GB2312" w:cs="仿宋_GB2312"/>
                <w:sz w:val="24"/>
                <w:szCs w:val="24"/>
                <w:lang w:val="en-US" w:eastAsia="zh-CN" w:bidi="ar"/>
              </w:rPr>
              <w:t>　违反本条例规定，有下列行为之一的，县级以上地方人民政府河道主管机关除责令其纠正违法行为、采取补救措施外，可以并处警告、罚款、没收非法所得；对有关责任人员，由其所在单位或者上级主管机关给予行政处分；构成犯罪的，依法追究刑事责任：（六）违反本条例第二十七条的规定，围垦湖泊、河流的；</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bCs/>
                <w:i w:val="0"/>
                <w:iCs w:val="0"/>
                <w:color w:val="000000"/>
                <w:kern w:val="0"/>
                <w:sz w:val="24"/>
                <w:szCs w:val="24"/>
                <w:u w:val="none"/>
                <w:lang w:val="en-US" w:eastAsia="zh-CN" w:bidi="ar"/>
              </w:rPr>
              <w:t>10</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在水文监测水尺（桩）上栓系牲畜的处罚</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1.初次违法  2.危害后果轻微3.12.主动改正且符合要求的或在农牧水利科技部门责令期限内改正且符合要求的</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bCs/>
                <w:i w:val="0"/>
                <w:iCs w:val="0"/>
                <w:color w:val="000000"/>
                <w:kern w:val="0"/>
                <w:sz w:val="24"/>
                <w:szCs w:val="24"/>
                <w:u w:val="none"/>
                <w:lang w:val="en-US" w:eastAsia="zh-CN" w:bidi="ar-SA"/>
              </w:rPr>
            </w:pPr>
            <w:r>
              <w:rPr>
                <w:rFonts w:hint="eastAsia" w:ascii="仿宋_GB2312" w:hAnsi="仿宋_GB2312" w:eastAsia="仿宋_GB2312" w:cs="仿宋_GB2312"/>
                <w:b w:val="0"/>
                <w:bCs w:val="0"/>
                <w:i w:val="0"/>
                <w:iCs w:val="0"/>
                <w:color w:val="000000"/>
                <w:kern w:val="0"/>
                <w:sz w:val="24"/>
                <w:szCs w:val="24"/>
                <w:u w:val="none"/>
                <w:lang w:val="en-US" w:eastAsia="zh-CN" w:bidi="ar"/>
              </w:rPr>
              <w:t>1.《中华人民共和国行政处罚法》（1996年3月通过，2021年1月修订）第三十三条 第二款</w:t>
            </w:r>
            <w:r>
              <w:rPr>
                <w:rStyle w:val="18"/>
                <w:rFonts w:hint="eastAsia" w:ascii="仿宋_GB2312" w:hAnsi="仿宋_GB2312" w:eastAsia="仿宋_GB2312" w:cs="仿宋_GB2312"/>
                <w:sz w:val="24"/>
                <w:szCs w:val="24"/>
                <w:lang w:val="en-US" w:eastAsia="zh-CN" w:bidi="ar"/>
              </w:rPr>
              <w:t xml:space="preserve">初次违法且危害后果轻微并及时改正的，可以不予行政处罚。                                                                             </w:t>
            </w:r>
            <w:r>
              <w:rPr>
                <w:rStyle w:val="19"/>
                <w:rFonts w:hint="eastAsia" w:ascii="仿宋_GB2312" w:hAnsi="仿宋_GB2312" w:eastAsia="仿宋_GB2312" w:cs="仿宋_GB2312"/>
                <w:sz w:val="24"/>
                <w:szCs w:val="24"/>
                <w:lang w:val="en-US" w:eastAsia="zh-CN" w:bidi="ar"/>
              </w:rPr>
              <w:t>《</w:t>
            </w:r>
            <w:r>
              <w:rPr>
                <w:rStyle w:val="19"/>
                <w:rFonts w:hint="eastAsia" w:ascii="仿宋_GB2312" w:hAnsi="仿宋_GB2312" w:eastAsia="仿宋_GB2312" w:cs="仿宋_GB2312"/>
                <w:b w:val="0"/>
                <w:bCs w:val="0"/>
                <w:sz w:val="24"/>
                <w:szCs w:val="24"/>
                <w:lang w:val="en-US" w:eastAsia="zh-CN" w:bidi="ar"/>
              </w:rPr>
              <w:t>中华人民共和国水文条例》第四十二条</w:t>
            </w:r>
            <w:r>
              <w:rPr>
                <w:rStyle w:val="19"/>
                <w:rFonts w:hint="eastAsia" w:ascii="仿宋_GB2312" w:hAnsi="仿宋_GB2312" w:eastAsia="仿宋_GB2312" w:cs="仿宋_GB2312"/>
                <w:sz w:val="24"/>
                <w:szCs w:val="24"/>
                <w:lang w:val="en-US" w:eastAsia="zh-CN" w:bidi="ar"/>
              </w:rPr>
              <w:t>　</w:t>
            </w:r>
            <w:r>
              <w:rPr>
                <w:rStyle w:val="18"/>
                <w:rFonts w:hint="eastAsia" w:ascii="仿宋_GB2312" w:hAnsi="仿宋_GB2312" w:eastAsia="仿宋_GB2312" w:cs="仿宋_GB2312"/>
                <w:sz w:val="24"/>
                <w:szCs w:val="24"/>
                <w:lang w:val="en-US" w:eastAsia="zh-CN" w:bidi="ar"/>
              </w:rPr>
              <w:t>违反本条例规定，从事本条例第三十二条所列活动的，责令停止违法行为，限期恢复原状或者采取其他补救措施，可以处1万元以下罚款；构成违反治安管理行为的，依法给予治安管理处罚；构成犯罪的，依法追究刑事责任。</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包容观察、说服教育、谈话提醒、及时复查整改情况、加强行政检查等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lang w:eastAsia="zh-CN"/>
              </w:rPr>
              <w:t>统计局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拒绝提供统计资料或者经催报后仍未按时提供统计资料的。</w:t>
            </w:r>
          </w:p>
        </w:tc>
        <w:tc>
          <w:tcPr>
            <w:tcW w:w="1502" w:type="pct"/>
            <w:vMerge w:val="restar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统计违法情节轻微并及时纠正，没有造成危害后果的，不予行政处罚；初次统计违法且危害后果轻微并及时改正的，可以不予行政处罚。初次违法是指自报送统计报表以来，严格依法依规报送统计资料，2个自然年度内首次违法且危害后果轻微并及时改正的；当事人有证据足以证明没有主观过错的，不予行政处罚。</w:t>
            </w:r>
          </w:p>
        </w:tc>
        <w:tc>
          <w:tcPr>
            <w:tcW w:w="1798" w:type="pct"/>
            <w:vMerge w:val="restar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    1.《中华人民共和国行政处罚法》第三十三条规定违法行为轻微并及时改正，没有造成危害后果的，不予行政处罚。初次违法且危害后果轻微并及时改正的，可以不予行政处罚。当事人有证据足以证明没有主观过错的，不予行政处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2.《中华人民共和国统计法》第四十一条 作为统计调查对象的国家机关、企业事业单位或者其他组织有下列行为之一的，由县级以上人民政府统计机构责令改正，给予警告，可以予以通报;其直接负责的主管人员和其他直接责任人员属于国家工作人员的，由任免机关或者监察机关依法给予处分:</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(一)拒绝提供统计资料或者经催报后仍未按时提供统计资料的;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(二)提供不真实或者不完整的统计资料的;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(三)拒绝答复或者不如实答复统计检查查询书的;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(四)拒绝、阻碍统计调查、统计检查的;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(五)转移、隐匿、篡改、毁弃或者拒绝提供原始记录和凭证、统计台账、统计调查表及其他相关证明和资料的。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企业事业单位或者其他组织有前款所列行为之一的，可以并处五万元以下的罚款；情节严重的，并处五万元以上二十万元以下的罚款。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个体工商户有本条第一款所列行为之一的，由县级以上人民政府统计机构责令改正，给予警告，可以并处一万元以下的罚款。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3.《内蒙古自治区统计行政处罚裁量基准（2022版）》第十五条  统计违法情节轻微并及时纠正，没有造成危害后果的，不予行政处罚；初次统计违法且危害后果轻微并及时改正的，可以不予行政处罚。初次违法是指自报送统计报表以来，严格依法依规报送统计资料，2个自然年度内首次违法且危害后果轻微并及时改正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当事人有证据足以证明没有主观过错的，不予行政处罚。法律、行政法规另有规定的，从其规定。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对当事人的违法行为依法不予统计行政处罚的，应当对当事人进行教育。</w:t>
            </w:r>
          </w:p>
        </w:tc>
        <w:tc>
          <w:tcPr>
            <w:tcW w:w="561" w:type="pct"/>
            <w:vMerge w:val="restar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责令整改、说服教育、监管督促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提供不真实或者不完整的统计资料的</w:t>
            </w:r>
          </w:p>
        </w:tc>
        <w:tc>
          <w:tcPr>
            <w:tcW w:w="1502"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c>
          <w:tcPr>
            <w:tcW w:w="1798"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1"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拒绝答复或者不如实答复统计检查查询书的。</w:t>
            </w:r>
          </w:p>
        </w:tc>
        <w:tc>
          <w:tcPr>
            <w:tcW w:w="1502"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c>
          <w:tcPr>
            <w:tcW w:w="1798"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1"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拒绝、阻碍统计调查、统计检查的。</w:t>
            </w:r>
          </w:p>
        </w:tc>
        <w:tc>
          <w:tcPr>
            <w:tcW w:w="1502"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c>
          <w:tcPr>
            <w:tcW w:w="1798"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1"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转移、隐匿、篡改、毁弃或者拒绝提供原始记录和凭证、统计台账、统计调查表及其他相关证明和资料的。</w:t>
            </w:r>
          </w:p>
        </w:tc>
        <w:tc>
          <w:tcPr>
            <w:tcW w:w="1502"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c>
          <w:tcPr>
            <w:tcW w:w="1798"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b w:val="0"/>
                <w:bCs w:val="0"/>
                <w:i w:val="0"/>
                <w:iCs w:val="0"/>
                <w:color w:val="000000"/>
                <w:kern w:val="0"/>
                <w:sz w:val="24"/>
                <w:szCs w:val="24"/>
                <w:u w:val="none"/>
                <w:lang w:val="en-US" w:eastAsia="zh-CN" w:bidi="ar"/>
              </w:rPr>
            </w:pPr>
          </w:p>
        </w:tc>
        <w:tc>
          <w:tcPr>
            <w:tcW w:w="561" w:type="pct"/>
            <w:vMerge w:val="continue"/>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作为统计调查对象的国家机关、企业事业单位或者其他组织迟报统计资料，或者未按照国家有关规定设置原始记录、统计台账的。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统计违法情节轻微并及时纠正，没有造成危害后果的，不予行政处罚；初次统计违法且危害后果轻微并及时改正的，可以不予行政处罚。初次违法是指自报送统计报表以来，严格依法依规报送统计资料，2个自然年度内首次违法且危害后果轻微并及时改正的；当事人有证据足以证明没有主观过错的，不予行政处罚。</w:t>
            </w:r>
          </w:p>
        </w:tc>
        <w:tc>
          <w:tcPr>
            <w:tcW w:w="1798"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    1.《中华人民共和国行政处罚法》第三十三条规定违法行为轻微并及时改正，没有造成危害后果的，不予行政处罚。初次违法且危害后果轻微并及时改正的，可以不予行政处罚。当事人有证据足以证明没有主观过错的，不予行政处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2.《中华人民共和国统计法》第四十二条 作为统计调查对象的国家机关、企业事业单位或者其他组织迟报统计资料，或者未按照国家有关规定设置原始记录、统计台账的，由县级以上人民政府统计机构责令改正，给予警告。</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企业事业单位或者其他组织有前款所列行为之一的，可以并处一万元以下的罚款。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个体工商户迟报统计资料的，由县级以上人民政府统计机构责令改正，给予警告，可以并处一千元以下的罚款。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3.《内蒙古自治区统计行政处罚裁量基准（2022版）》第十五条  统计违法情节轻微并及时纠正，没有造成危害后果的，不予行政处罚；初次统计违法且危害后果轻微并及时改正的，可以不予行政处罚。初次违法是指自报送统计报表以来，严格依法依规报送统计资料，2个自然年度内首次违法且危害后果轻微并及时改正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当事人有证据足以证明没有主观过错的，不予行政处罚。法律、行政法规另有规定的，从其规定。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对当事人的违法行为依法不予统计行政处罚的，应当对当事人进行教育。</w:t>
            </w:r>
          </w:p>
        </w:tc>
        <w:tc>
          <w:tcPr>
            <w:tcW w:w="561" w:type="pct"/>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责令整改、说服教育、监管督促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b/>
                <w:bCs/>
                <w:i w:val="0"/>
                <w:iCs w:val="0"/>
                <w:color w:val="000000"/>
                <w:kern w:val="0"/>
                <w:sz w:val="40"/>
                <w:szCs w:val="40"/>
                <w:u w:val="none"/>
                <w:lang w:val="en-US" w:eastAsia="zh-CN" w:bidi="ar"/>
              </w:rPr>
              <w:t>国家税务总局根河市税务局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纳税人未按照规定的期限申报办理税务登记、变更或者注销登记</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一年内首次违反且危害后果轻微，并在税务机关发现前主动改正或者在税务机关责令限期改正的期限内改正的，不予行政处罚。</w:t>
            </w:r>
            <w:r>
              <w:rPr>
                <w:rStyle w:val="16"/>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一项，纳税人有下列行为之一的，由税务机关责令限期改正，可以处二千元以下的罚款；情节严重的，处二千元以上一万元以下的罚款：（一）未按照规定的期限申报办理税务登记、变更或者注销登记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纳税人未按照规定将其全部银行账号向税务机关报告</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一年内首次违反且危害后果轻微，并在税务机关发现前主动改正或者在税务机关责令限期改正的期限内改正的，不予行政处罚。</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四项，纳税人有下列行为之一的，由税务机关责令限期改正，可以处二千元以下的罚款；情节严重的，处二千元以上一万元以下的罚款：（四）未按照规定将其全部银行账号向税务机关报告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扣缴义务人未按照规定办理扣缴税款登记</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一年内首次违反且危害后果轻微，并在税务机关发现前主动改正或者在税务机关责令限期改正的期限内改正的，不予行政处罚。</w:t>
            </w:r>
            <w:r>
              <w:rPr>
                <w:rStyle w:val="16"/>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税务登记管理办法》（国家税务总局令第7号公布，国家税务总局令第36号、第44号、第48号修改）第四十二条，扣缴义务人未按照规定办理扣缴税款登记的，税务机关应当自发现之日起3日内责令其限期改正，并可处以1000元以下的罚款。</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境内机构或个人发包工程作业或劳务项目，未按规定向主管税务机关报告有关事项</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一年内首次违反且危害后果轻微，并在税务机关发现前主动改正或者在税务机关责令限期改正的期限内改正的，不予行政处罚。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非居民承包工程作业和提供劳务税收管理暂行办法》（国家税务总局令第19号公布）第三十三条，境内机构或个人发包工程作业或劳务项目，未按本办法第五条、第七条、第八条、第九条规定向主管税务机关报告有关事项的，由税务机关责令限期改正，可以处2000元以下的罚款；情节严重的，处2000元以上1万元以下的罚款。</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纳税人未按照规定设置、保管账簿或者保管记账凭证和有关资料</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一年内首次违反且危害后果轻微，并在税务机关发现前主动改正或者在税务机关责令限期改正的期限内改正的，不予行政处罚。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二项，纳税人有下列行为之一的，由税务机关责令限期改正，可以处二千元以下的罚款；情节严重的，处二千元以上一万元以下的罚款：（二）未按照规定设置、保管账簿或者保管记账凭证和有关资料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纳税人未按照规定将财务、会计制度或者财务、会计处理办法和会计核算软件报送税务机关备查</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一年内首次违反且危害后果轻微，并在税务机关发现前主动改正或者在税务机关责令限期改正的期限内改正的，不予行政处罚。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三项，纳税人有下列行为之一的，由税务机关责令限期改正，可以处二千元以下的罚款；情节严重的，处二千元以上一万元以下的罚款：（三）未按照规定将财务、会计制度或者财务、会计处理办法和会计核算软件报送税务机关备查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扣缴义务人未按照规定设置、保管代扣代缴、代收代缴税款账簿或者保管代扣代缴、代收代缴税款记账凭证及有关资料</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一年内首次违反且危害后果轻微，并在税务机关发现前主动改正或者在税务机关责令限期改正的期限内改正的，不予行政处罚。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一条，扣缴义务人未按照规定设置、保管代扣代缴、代收代缴税款账簿或者保管代扣代缴、代收代缴税款记账凭证及有关资料的，由税务机关责令限期改正，可以处二千元以下的罚款；情节严重的，处二千元以上五千元以下的罚款。</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纳税人未按照规定安装、使用税控装置或者损毁或者擅自改动税控装置</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纳税人未按照规定安装、使用税控装置。一年内首次违反且危害后果轻微，并在税务机关发现前主动改正或者在税务机关责令限期改正的期限内改正的，不予行政处罚。</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五项，纳税人有下列行为之一的，由税务机关责令限期改正，可以处二千元以下的罚款；情节严重的，处二千元以上一万元以下的罚款：（五）未按照规定安装、使用税控装置，或者损毁或者擅自改动税控装置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纳税人未按照规定的期限办理纳税申报和报送纳税资料，或者扣缴义务人未按照规定的期限向税务机关报送代扣代缴、代收代缴税款报告表和有关资料</w:t>
            </w:r>
          </w:p>
        </w:tc>
        <w:tc>
          <w:tcPr>
            <w:tcW w:w="1502" w:type="pct"/>
            <w:vAlign w:val="center"/>
          </w:tcPr>
          <w:p>
            <w:pPr>
              <w:keepNext w:val="0"/>
              <w:keepLines w:val="0"/>
              <w:widowControl/>
              <w:suppressLineNumbers w:val="0"/>
              <w:spacing w:after="240" w:afterAutospacing="0"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一年内首次违反且危害后果轻微，并在税务机关发现前主动改正或者在税务机关责令限期改正的期限内改正的，不予行政处罚。</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二条，纳税人未按照规定的期限办理纳税申报和报送纳税资料的，或者扣缴义务人未按照规定的期限向税务机关报送代扣代缴、代收代缴税款报告表和有关资料的，由税务机关责令限期改正，可以处二千元以下的罚款；情节严重的，可以处二千元以上一万元以下的罚款。</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应当开具而未开具发票，或者未按照规定的时限、顺序、栏目，全部联次一次性开具发票，或者未加盖发票专用章</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一年内首次违反且危害后果轻微，并在税务机关发现前主动改正或者在税务机关责令限期改正的期限内改正，同时没有违法所得的，不予罚款。有违法所得的予以没收。</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一项，违反本办法的规定，有下列情形之一的，由税务机关责令改正，可以处1万元以下的罚款；有违法所得的予以没收：（一）应当开具而未开具发票，或者未按照规定的时限、顺序、栏目，全部联次一次性开具发票，或者未加盖发票专用章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使用税控装置开具发票，未按期向主管税务机关报送开具发票的数据</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一年内首次违反且危害后果轻微，并在税务机关发现前主动改正或者在税务机关责令限期改正的期限内改正，同时没有违法所得的，不予罚款。有违法所得的予以没收。</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二项，违反本办法的规定，有下列情形之一的，由税务机关责令改正，可以处1万元以下的罚款；有违法所得的予以没收：（二）使用税控装置开具发票，未按期向主管税务机关报送开具发票的数据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使用非税控电子器具开具发票，未将非税控电子器具使用的软件程序说明资料报主管税务机关备案，或者未按照规定保存、报送开具发票的数据</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Style w:val="17"/>
                <w:rFonts w:hint="eastAsia" w:ascii="仿宋_GB2312" w:hAnsi="仿宋_GB2312" w:eastAsia="仿宋_GB2312" w:cs="仿宋_GB2312"/>
                <w:sz w:val="24"/>
                <w:szCs w:val="24"/>
                <w:lang w:val="en-US" w:eastAsia="zh-CN" w:bidi="ar"/>
              </w:rPr>
              <w:t>一年内首次违反且危害后果轻微，并在税务机关发现前主动改正或者在税务机关责令限期改正的期限内改正，同时没有违法所得的，不予罚款。有违法所得的予以没收。</w:t>
            </w:r>
            <w:r>
              <w:rPr>
                <w:rStyle w:val="17"/>
                <w:rFonts w:hint="eastAsia" w:ascii="仿宋_GB2312" w:hAnsi="仿宋_GB2312" w:eastAsia="仿宋_GB2312" w:cs="仿宋_GB2312"/>
                <w:sz w:val="24"/>
                <w:szCs w:val="24"/>
                <w:lang w:val="en-US" w:eastAsia="zh-CN" w:bidi="ar"/>
              </w:rPr>
              <w:br w:type="textWrapping"/>
            </w:r>
            <w:r>
              <w:rPr>
                <w:rStyle w:val="16"/>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三项，违反本办法的规定，有下列情形之一的，由税务机关责令改正，可以处1万元以下的罚款；有违法所得的予以没收：（三）使用非税控电子器具开具发票，未将非税控电子器具使用的软件程序说明资料报主管税务机关备案，或者未按照规定保存、报送开具发票的数据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拆本使用发票</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一年内首次违反且危害后果轻微，并在税务机关发现前主动改正或者在税务机关责令限期改正的期限内改正，同时没有违法所得的，不予罚款。有违法所得的予以没收。</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《中华人民共和国发票管理办法》第三十五条第四项，违反本办法的规定，有下列情形之一的，由税务机关责令改正，可以处1万元以下的罚款；有违法所得的予以没收：（四）拆本使用发票的。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扩大发票使用范围</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一年内首次违反且危害后果轻微，并在税务机关发现前主动改正或者在税务机关责令限期改正的期限内改正，同时没有违法所得的，不予罚款。有违法所得的予以没收。</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《中华人民共和国发票管理办法》第三十五条第五项，违反本办法的规定，有下列情形之一的，由税务机关责令改正，可以处1万元以下的罚款；有违法所得的予以没收：（五）扩大发票使用范围的。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以其他凭证代替发票使用</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一年内首次违反且危害后果轻微，并在税务机关发现前主动改正或者在税务机关责令限期改正的期限内改正，同时没有违法所得的，不予罚款。有违法所得的予以没收。</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《中华人民共和国发票管理办法》第三十五条第六项，违反本办法的规定，有下列情形之一的，由税务机关责令改正，可以处1万元以下的罚款；有违法所得的予以没收：（六）以其他凭证代替发票使用的。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跨规定区域开具发票</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一年内首次违反且危害后果轻微，并在税务机关发现前主动改正或者在税务机关责令限期改正的期限内改正，同时没有违法所得的，不予罚款。有违法所得的予以没收。</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《中华人民共和国发票管理办法》第三十五条第七项，违反本办法的规定，有下列情形之一的，由税务机关责令改正，可以处1万元以下的罚款；有违法所得的予以没收：（七）跨规定区域开具发票的。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17</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未按照规定缴销发票</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一年内首次违反且危害后果轻微，并在税务机关发现前主动改正或者在税务机关责令限期改正的期限内改正，同时没有违法所得的，不予罚款。有违法所得的予以没收。</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《中华人民共和国发票管理办法》第三十五条第八项，违反本办法的规定，有下列情形之一的，由税务机关责令改正，可以处1万元以下的罚款；有违法所得的予以没收：（八）未按照规定缴销发票的。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未按照规定存放和保管发票</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一年内首次违反且危害后果轻微，并在税务机关发现前主动改正或者在税务机关责令限期改正的期限内改正，同时没有违法所得的，不予罚款。有违法所得的予以没收。</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《中华人民共和国发票管理办法》第三十五条第九项，违反本办法的规定，有下列情形之一的，由税务机关责令改正，可以处1万元以下的罚款；有违法所得的予以没收：（九）未按照规定存放和保管发票的。</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19</w:t>
            </w:r>
          </w:p>
        </w:tc>
        <w:tc>
          <w:tcPr>
            <w:tcW w:w="814"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跨规定的使用区域携带、邮寄、运输空白发票，以及携带、邮寄或者运输空白发票出入境</w:t>
            </w:r>
          </w:p>
        </w:tc>
        <w:tc>
          <w:tcPr>
            <w:tcW w:w="1502" w:type="pct"/>
            <w:vAlign w:val="center"/>
          </w:tcPr>
          <w:p>
            <w:pPr>
              <w:keepNext w:val="0"/>
              <w:keepLines w:val="0"/>
              <w:widowControl/>
              <w:suppressLineNumbers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一年内首次违反且危害后果轻微，并在税务机关发现前主动改正或者在税务机关责令限期改正的期限内改正，同时没有违法所得的，不予罚款。有违法所得的予以没收。 </w:t>
            </w:r>
          </w:p>
        </w:tc>
        <w:tc>
          <w:tcPr>
            <w:tcW w:w="1798"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六条第一款，跨规定的使用区域携带、邮寄、运输空白发票，以及携带、邮寄或者运输空白发票出入境的，由税务机关责令改正，可以处1万元以下的罚款；情节严重的，处1万元以上3万元以下的罚款；有违法所得的予以没收。</w:t>
            </w:r>
          </w:p>
        </w:tc>
        <w:tc>
          <w:tcPr>
            <w:tcW w:w="561" w:type="pct"/>
            <w:vAlign w:val="center"/>
          </w:tcPr>
          <w:p>
            <w:pPr>
              <w:keepNext w:val="0"/>
              <w:keepLines w:val="0"/>
              <w:widowControl/>
              <w:suppressLineNumbers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20</w:t>
            </w:r>
          </w:p>
        </w:tc>
        <w:tc>
          <w:tcPr>
            <w:tcW w:w="81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扣缴义务人未按照《税收票证管理办法》的规定开具税收票证</w:t>
            </w:r>
          </w:p>
        </w:tc>
        <w:tc>
          <w:tcPr>
            <w:tcW w:w="1502"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Style w:val="17"/>
                <w:rFonts w:hint="eastAsia" w:ascii="仿宋_GB2312" w:hAnsi="仿宋_GB2312" w:eastAsia="仿宋_GB2312" w:cs="仿宋_GB2312"/>
                <w:sz w:val="24"/>
                <w:szCs w:val="24"/>
                <w:lang w:val="en-US" w:eastAsia="zh-CN" w:bidi="ar"/>
              </w:rPr>
              <w:t>一年内首次违反且危害后果轻微，并在税务机关发现前主动改正或者在税务机关责令限期改正的期限内改正的，不予行政处罚。</w:t>
            </w:r>
            <w:r>
              <w:rPr>
                <w:rStyle w:val="17"/>
                <w:rFonts w:hint="eastAsia" w:ascii="仿宋_GB2312" w:hAnsi="仿宋_GB2312" w:eastAsia="仿宋_GB2312" w:cs="仿宋_GB2312"/>
                <w:sz w:val="24"/>
                <w:szCs w:val="24"/>
                <w:lang w:val="en-US" w:eastAsia="zh-CN" w:bidi="ar"/>
              </w:rPr>
              <w:br w:type="textWrapping"/>
            </w:r>
            <w:r>
              <w:rPr>
                <w:rStyle w:val="16"/>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税收票证管理办法》（国家税务总局令第28号公布，国家税务总局令第48号修改）第五十四条，扣缴义务人未按照本办法及有关规定保管、报送代扣代缴、代收代缴税收票证及有关资料的，按照《中华人民共和国税收征收管理法》及相关规定进行处理。扣缴义务人未按照本办法开具税收票证的，可以根据情节轻重，处以一千元以下的罚款。</w:t>
            </w:r>
          </w:p>
        </w:tc>
        <w:tc>
          <w:tcPr>
            <w:tcW w:w="56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21</w:t>
            </w:r>
          </w:p>
        </w:tc>
        <w:tc>
          <w:tcPr>
            <w:tcW w:w="814"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自行填开税收票证的纳税人违反《税收票证管理办法》及相关规定</w:t>
            </w:r>
          </w:p>
        </w:tc>
        <w:tc>
          <w:tcPr>
            <w:tcW w:w="1502"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Style w:val="17"/>
                <w:rFonts w:hint="eastAsia" w:ascii="仿宋_GB2312" w:hAnsi="仿宋_GB2312" w:eastAsia="仿宋_GB2312" w:cs="仿宋_GB2312"/>
                <w:sz w:val="24"/>
                <w:szCs w:val="24"/>
                <w:lang w:val="en-US" w:eastAsia="zh-CN" w:bidi="ar"/>
              </w:rPr>
              <w:t>一年内首次违反且危害后果轻微，并在税务机关发现前主动改正或者在税务机关责令限期改正的期限内改正的，不予行政处罚。</w:t>
            </w:r>
            <w:r>
              <w:rPr>
                <w:rStyle w:val="17"/>
                <w:rFonts w:hint="eastAsia" w:ascii="仿宋_GB2312" w:hAnsi="仿宋_GB2312" w:eastAsia="仿宋_GB2312" w:cs="仿宋_GB2312"/>
                <w:sz w:val="24"/>
                <w:szCs w:val="24"/>
                <w:lang w:val="en-US" w:eastAsia="zh-CN" w:bidi="ar"/>
              </w:rPr>
              <w:br w:type="textWrapping"/>
            </w:r>
            <w:r>
              <w:rPr>
                <w:rStyle w:val="19"/>
                <w:rFonts w:hint="eastAsia" w:ascii="仿宋_GB2312" w:hAnsi="仿宋_GB2312" w:eastAsia="仿宋_GB2312" w:cs="仿宋_GB2312"/>
                <w:sz w:val="24"/>
                <w:szCs w:val="24"/>
                <w:lang w:val="en-US" w:eastAsia="zh-CN" w:bidi="ar"/>
              </w:rPr>
              <w:t>    </w:t>
            </w:r>
          </w:p>
        </w:tc>
        <w:tc>
          <w:tcPr>
            <w:tcW w:w="1798"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税收票证管理办法》（国家税务总局令第28号公布，国家税务总局令第48号修改）第五十六条，自行填开税收票证的纳税人违反本办法及相关规定的，税务机关应当停止其税收票证的领用和自行填开，并限期缴销全部税收票证；情节严重的，可以处以一千元以下的罚款。</w:t>
            </w:r>
          </w:p>
        </w:tc>
        <w:tc>
          <w:tcPr>
            <w:tcW w:w="561" w:type="pct"/>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line="240" w:lineRule="auto"/>
              <w:jc w:val="both"/>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keepNext w:val="0"/>
              <w:keepLines w:val="0"/>
              <w:widowControl/>
              <w:suppressLineNumbers w:val="0"/>
              <w:spacing w:line="240" w:lineRule="auto"/>
              <w:jc w:val="center"/>
              <w:textAlignment w:val="top"/>
              <w:rPr>
                <w:rFonts w:hint="eastAsia" w:ascii="仿宋_GB2312" w:hAnsi="仿宋_GB2312" w:eastAsia="仿宋_GB2312" w:cs="仿宋_GB2312"/>
                <w:b/>
                <w:bCs/>
                <w:i w:val="0"/>
                <w:iCs w:val="0"/>
                <w:color w:val="000000"/>
                <w:kern w:val="0"/>
                <w:sz w:val="24"/>
                <w:szCs w:val="24"/>
                <w:u w:val="none"/>
                <w:lang w:val="en-US" w:eastAsia="zh-CN" w:bidi="ar"/>
              </w:rPr>
            </w:pPr>
            <w:r>
              <w:rPr>
                <w:rFonts w:hint="eastAsia" w:ascii="仿宋_GB2312" w:hAnsi="仿宋_GB2312" w:eastAsia="仿宋_GB2312" w:cs="仿宋_GB2312"/>
                <w:b/>
                <w:bCs/>
                <w:i w:val="0"/>
                <w:iCs w:val="0"/>
                <w:color w:val="000000"/>
                <w:kern w:val="0"/>
                <w:sz w:val="40"/>
                <w:szCs w:val="40"/>
                <w:u w:val="none"/>
                <w:lang w:val="en-US" w:eastAsia="zh-CN" w:bidi="ar"/>
              </w:rPr>
              <w:t>教育体育局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814" w:type="pct"/>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b w:val="0"/>
                <w:bCs w:val="0"/>
                <w:i w:val="0"/>
                <w:caps w:val="0"/>
                <w:color w:val="auto"/>
                <w:spacing w:val="0"/>
                <w:kern w:val="0"/>
                <w:sz w:val="24"/>
                <w:szCs w:val="24"/>
                <w:highlight w:val="none"/>
                <w:shd w:val="clear" w:color="auto" w:fill="FFFFFF"/>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干涉他人学习和使用国家通用语言文字的处罚</w:t>
            </w:r>
          </w:p>
        </w:tc>
        <w:tc>
          <w:tcPr>
            <w:tcW w:w="1502" w:type="pct"/>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1.违法行为轻微并及时改正，没有造成危害后果的;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2.初次违法且危害后果轻微并及时改正的;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b w:val="0"/>
                <w:bCs w:val="0"/>
                <w:i w:val="0"/>
                <w:caps w:val="0"/>
                <w:color w:val="auto"/>
                <w:spacing w:val="0"/>
                <w:kern w:val="0"/>
                <w:sz w:val="24"/>
                <w:szCs w:val="24"/>
                <w:highlight w:val="none"/>
                <w:shd w:val="clear" w:color="auto" w:fill="FFFFFF"/>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3.当事人有证据足以证明没有主观过错的。法律、行政法规另有规定的，从其规定。</w:t>
            </w:r>
          </w:p>
        </w:tc>
        <w:tc>
          <w:tcPr>
            <w:tcW w:w="1798" w:type="pct"/>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《中华人民共和国行政处罚法》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第三十三条    违法行为轻微并及时改正，没有造成危害后果的，不予行政处罚。初次违法且危害后果轻微并及时改正的，可以不予行政处罚。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当事人有证据足以证明没有主观过错的，不予行政处罚。法律、行政法规另有规定的，从其规定。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对当事人的违法行为依法不予行政处罚的，行政机关应当对当事人进行教育。</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《中华人民共和国国家通用语言文字法》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b w:val="0"/>
                <w:bCs w:val="0"/>
                <w:color w:val="auto"/>
                <w:kern w:val="0"/>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第二十七条    违反本法规定，干涉他人学习和使用国家通用语言文字的，由有关行政管理部门责令限期改正，并予以警告。</w:t>
            </w:r>
          </w:p>
        </w:tc>
        <w:tc>
          <w:tcPr>
            <w:tcW w:w="561" w:type="pct"/>
            <w:vAlign w:val="center"/>
          </w:tcPr>
          <w:p>
            <w:pPr>
              <w:spacing w:line="240" w:lineRule="auto"/>
              <w:jc w:val="left"/>
              <w:rPr>
                <w:rFonts w:hint="eastAsia" w:ascii="仿宋_GB2312" w:hAnsi="仿宋_GB2312" w:eastAsia="仿宋_GB2312" w:cs="仿宋_GB2312"/>
                <w:b/>
                <w:bCs/>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color w:val="00000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w:t>
            </w:r>
          </w:p>
        </w:tc>
        <w:tc>
          <w:tcPr>
            <w:tcW w:w="814"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b w:val="0"/>
                <w:bCs w:val="0"/>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对擅自改变民办学校名称、层次、类别和举办者的处罚</w:t>
            </w:r>
          </w:p>
        </w:tc>
        <w:tc>
          <w:tcPr>
            <w:tcW w:w="1502" w:type="pct"/>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1.违法行为轻微并及时改正，没有造成危害后果的;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2.初次违法且危害后果轻微并及时改正的;</w:t>
            </w:r>
          </w:p>
          <w:p>
            <w:pPr>
              <w:keepNext w:val="0"/>
              <w:keepLines w:val="0"/>
              <w:widowControl/>
              <w:suppressLineNumbers w:val="0"/>
              <w:spacing w:line="240" w:lineRule="auto"/>
              <w:jc w:val="both"/>
              <w:textAlignment w:val="center"/>
              <w:rPr>
                <w:rFonts w:hint="eastAsia" w:ascii="仿宋_GB2312" w:hAnsi="仿宋_GB2312" w:eastAsia="仿宋_GB2312" w:cs="仿宋_GB2312"/>
                <w:b w:val="0"/>
                <w:bCs w:val="0"/>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3.当事人有证据足以证明没有主观过错的。法律、行政法规另有规定的，从其规定。</w:t>
            </w:r>
          </w:p>
        </w:tc>
        <w:tc>
          <w:tcPr>
            <w:tcW w:w="1798" w:type="pct"/>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《中华人民共和国行政处罚法》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第三十三条    违法行为轻微并及时改正，没有造成危害后果的，不予行政处罚。初次违法且危害后果轻微并及时改正的，可以不予行政处罚。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当事人有证据足以证明没有主观过错的，不予行政处罚。法律、行政法规另有规定的，从其规定。</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对当事人的违法行为依法不予行政处罚的，行政机关应当对当事人进行教育。</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《中华人民共和国民办教育促进法》</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第六十二条    民办学校有下列行为之一的，由审批机关或者其他有关部门责令限期改正，并予以警告；有违法所得的，退还所收费用后没收违法所得；情节严重的，责令停止招生、吊销办学许可证；构成犯罪的，依法追究刑事责任：　　　　</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b w:val="0"/>
                <w:bCs w:val="0"/>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（二）擅自改变民办学校名称、层次、类别和举办者的。　</w:t>
            </w:r>
          </w:p>
        </w:tc>
        <w:tc>
          <w:tcPr>
            <w:tcW w:w="561" w:type="pct"/>
            <w:vAlign w:val="center"/>
          </w:tcPr>
          <w:p>
            <w:pPr>
              <w:spacing w:line="240" w:lineRule="auto"/>
              <w:jc w:val="left"/>
              <w:rPr>
                <w:rFonts w:hint="eastAsia" w:ascii="仿宋_GB2312" w:hAnsi="仿宋_GB2312" w:eastAsia="仿宋_GB2312" w:cs="仿宋_GB2312"/>
                <w:b w:val="0"/>
                <w:bCs w:val="0"/>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color w:val="00000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w:t>
            </w:r>
          </w:p>
        </w:tc>
        <w:tc>
          <w:tcPr>
            <w:tcW w:w="814"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b/>
                <w:bCs/>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民办学校擅自分立、合并的处罚</w:t>
            </w:r>
          </w:p>
        </w:tc>
        <w:tc>
          <w:tcPr>
            <w:tcW w:w="1502" w:type="pct"/>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1.违法行为轻微并及时改正，没有造成危害后果的;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2.初次违法且危害后果轻微并及时改正的;</w:t>
            </w:r>
          </w:p>
          <w:p>
            <w:pPr>
              <w:keepNext w:val="0"/>
              <w:keepLines w:val="0"/>
              <w:widowControl/>
              <w:suppressLineNumbers w:val="0"/>
              <w:spacing w:line="240" w:lineRule="auto"/>
              <w:jc w:val="both"/>
              <w:textAlignment w:val="center"/>
              <w:rPr>
                <w:rFonts w:hint="eastAsia" w:ascii="仿宋_GB2312" w:hAnsi="仿宋_GB2312" w:eastAsia="仿宋_GB2312" w:cs="仿宋_GB2312"/>
                <w:b/>
                <w:bCs/>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3.当事人有证据足以证明没有主观过错的。法律、行政法规另有规定的，从其规定。</w:t>
            </w:r>
          </w:p>
        </w:tc>
        <w:tc>
          <w:tcPr>
            <w:tcW w:w="1798" w:type="pct"/>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《中华人民共和国行政处罚法》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第三十三条    违法行为轻微并及时改正，没有造成危害后果的，不予行政处罚。初次违法且危害后果轻微并及时改正的，可以不予行政处罚。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当事人有证据足以证明没有主观过错的，不予行政处罚。法律、行政法规另有规定的，从其规定。</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对当事人的违法行为依法不予行政处罚的，行政机关应当对当事人进行教育。</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《中华人民共和国民办教育促进法》</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第六十二条    民办学校有下列行为之一的，由审批机关或者其他有关部门责令限期改正，并予以警告；有违法所得的，退还所收费用后没收违法所得；情节严重的，责令停止招生、吊销办学许可证；构成犯罪的，依法追究刑事责任：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0" w:leftChars="0" w:firstLine="0" w:firstLineChars="0"/>
              <w:jc w:val="both"/>
              <w:textAlignment w:val="center"/>
              <w:rPr>
                <w:rFonts w:hint="eastAsia" w:ascii="仿宋_GB2312" w:hAnsi="仿宋_GB2312" w:eastAsia="仿宋_GB2312" w:cs="仿宋_GB2312"/>
                <w:b/>
                <w:bCs/>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（一）擅自分立、合并民办学校的。</w:t>
            </w:r>
          </w:p>
        </w:tc>
        <w:tc>
          <w:tcPr>
            <w:tcW w:w="561" w:type="pct"/>
            <w:vAlign w:val="center"/>
          </w:tcPr>
          <w:p>
            <w:pPr>
              <w:spacing w:line="240" w:lineRule="auto"/>
              <w:jc w:val="left"/>
              <w:rPr>
                <w:rFonts w:hint="eastAsia" w:ascii="仿宋_GB2312" w:hAnsi="仿宋_GB2312" w:eastAsia="仿宋_GB2312" w:cs="仿宋_GB2312"/>
                <w:b/>
                <w:bCs/>
                <w:color w:val="00000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color w:val="00000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w:t>
            </w:r>
          </w:p>
        </w:tc>
        <w:tc>
          <w:tcPr>
            <w:tcW w:w="814" w:type="pct"/>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ind w:left="0" w:leftChars="0" w:firstLine="0" w:firstLineChars="0"/>
              <w:jc w:val="both"/>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对未经批准擅自经营高危险性体育项目的处罚</w:t>
            </w:r>
          </w:p>
        </w:tc>
        <w:tc>
          <w:tcPr>
            <w:tcW w:w="1502" w:type="pct"/>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ind w:left="135" w:leftChars="0"/>
              <w:jc w:val="both"/>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违法行为轻微并及时纠正，没有违法所得，没有造成危害后果的</w:t>
            </w:r>
          </w:p>
        </w:tc>
        <w:tc>
          <w:tcPr>
            <w:tcW w:w="1798" w:type="pct"/>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jc w:val="both"/>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《全民健身条例》第三十六条</w:t>
            </w:r>
            <w:r>
              <w:rPr>
                <w:rFonts w:hint="eastAsia" w:ascii="仿宋_GB2312" w:hAnsi="仿宋_GB2312" w:eastAsia="仿宋_GB2312" w:cs="仿宋_GB2312"/>
                <w:spacing w:val="-7"/>
                <w:sz w:val="24"/>
                <w:szCs w:val="24"/>
                <w:highlight w:val="none"/>
                <w:lang w:eastAsia="zh-CN"/>
              </w:rPr>
              <w:t>：</w:t>
            </w:r>
            <w:r>
              <w:rPr>
                <w:rFonts w:hint="eastAsia" w:ascii="仿宋_GB2312" w:hAnsi="仿宋_GB2312" w:eastAsia="仿宋_GB2312" w:cs="仿宋_GB2312"/>
                <w:spacing w:val="-7"/>
                <w:sz w:val="24"/>
                <w:szCs w:val="24"/>
                <w:highlight w:val="none"/>
              </w:rPr>
              <w:t>　未经批准，擅自经营高危险性体育项目的，由县级以上地方人民政府体育主管部门按照管理权限责令改正；有违法所得的，没收违法所得；违法所得不足3万元或者没有违法所得的，并处3万元以上10万元以下的罚款；违法所得3万元以上的，并处违法所得2倍以上5倍以下的罚款。</w:t>
            </w:r>
          </w:p>
        </w:tc>
        <w:tc>
          <w:tcPr>
            <w:tcW w:w="561" w:type="pct"/>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jc w:val="center"/>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容缺执法、行政约谈、行政告诫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color w:val="00000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5</w:t>
            </w:r>
          </w:p>
        </w:tc>
        <w:tc>
          <w:tcPr>
            <w:tcW w:w="814" w:type="pct"/>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ind w:left="135" w:leftChars="0"/>
              <w:jc w:val="both"/>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对高危险性体育项目经营者取得许可证后不再符合条件仍经营的处罚</w:t>
            </w:r>
          </w:p>
        </w:tc>
        <w:tc>
          <w:tcPr>
            <w:tcW w:w="1502" w:type="pct"/>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ind w:left="135"/>
              <w:jc w:val="both"/>
              <w:textAlignment w:val="baseline"/>
              <w:rPr>
                <w:rFonts w:hint="eastAsia" w:ascii="仿宋_GB2312" w:hAnsi="仿宋_GB2312" w:eastAsia="仿宋_GB2312" w:cs="仿宋_GB2312"/>
                <w:spacing w:val="-7"/>
                <w:sz w:val="24"/>
                <w:szCs w:val="24"/>
                <w:highlight w:val="none"/>
              </w:rPr>
            </w:pPr>
          </w:p>
          <w:p>
            <w:pPr>
              <w:keepNext w:val="0"/>
              <w:keepLines w:val="0"/>
              <w:pageBreakBefore w:val="0"/>
              <w:widowControl/>
              <w:kinsoku/>
              <w:wordWrap/>
              <w:overflowPunct/>
              <w:topLinePunct w:val="0"/>
              <w:autoSpaceDE w:val="0"/>
              <w:autoSpaceDN w:val="0"/>
              <w:bidi w:val="0"/>
              <w:adjustRightInd w:val="0"/>
              <w:snapToGrid w:val="0"/>
              <w:spacing w:before="180" w:line="240" w:lineRule="auto"/>
              <w:ind w:left="135" w:leftChars="0"/>
              <w:jc w:val="both"/>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违法行为轻微并及时纠正，没有违法所得，没有造成危害后果的</w:t>
            </w:r>
          </w:p>
        </w:tc>
        <w:tc>
          <w:tcPr>
            <w:tcW w:w="1798" w:type="pct"/>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jc w:val="both"/>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《全民健身条例》第三十七条</w:t>
            </w:r>
            <w:r>
              <w:rPr>
                <w:rFonts w:hint="eastAsia" w:ascii="仿宋_GB2312" w:hAnsi="仿宋_GB2312" w:eastAsia="仿宋_GB2312" w:cs="仿宋_GB2312"/>
                <w:spacing w:val="-7"/>
                <w:sz w:val="24"/>
                <w:szCs w:val="24"/>
                <w:highlight w:val="none"/>
                <w:lang w:eastAsia="zh-CN"/>
              </w:rPr>
              <w:t>：</w:t>
            </w:r>
            <w:r>
              <w:rPr>
                <w:rFonts w:hint="eastAsia" w:ascii="仿宋_GB2312" w:hAnsi="仿宋_GB2312" w:eastAsia="仿宋_GB2312" w:cs="仿宋_GB2312"/>
                <w:spacing w:val="-7"/>
                <w:sz w:val="24"/>
                <w:szCs w:val="24"/>
                <w:highlight w:val="none"/>
              </w:rPr>
              <w:t>高危险性体育项目经营者取得许可证后，不再符合本条例规定条件仍经营该体育项目的，由县级以上地方人民政府体育主管部门按照管理权限责令改正；有违法所得的，没收违法所得；违法所得不足3万元或者没有违法所得的，并处3万元以上10万元以下的罚款；违法所得3万元以上的，并处违法所得2倍以上5倍以下的罚款；拒不改正的，由原发证机关吊销许可证。</w:t>
            </w:r>
          </w:p>
        </w:tc>
        <w:tc>
          <w:tcPr>
            <w:tcW w:w="561" w:type="pct"/>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jc w:val="center"/>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行政约谈、行政告诫、行政建议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keepNext w:val="0"/>
              <w:keepLines w:val="0"/>
              <w:pageBreakBefore w:val="0"/>
              <w:widowControl/>
              <w:kinsoku/>
              <w:wordWrap/>
              <w:overflowPunct/>
              <w:topLinePunct w:val="0"/>
              <w:autoSpaceDE w:val="0"/>
              <w:autoSpaceDN w:val="0"/>
              <w:bidi w:val="0"/>
              <w:adjustRightInd w:val="0"/>
              <w:snapToGrid w:val="0"/>
              <w:spacing w:before="180" w:line="240" w:lineRule="auto"/>
              <w:jc w:val="center"/>
              <w:textAlignment w:val="baseline"/>
              <w:rPr>
                <w:rFonts w:hint="eastAsia" w:ascii="仿宋_GB2312" w:hAnsi="仿宋_GB2312" w:eastAsia="仿宋_GB2312" w:cs="仿宋_GB2312"/>
                <w:b/>
                <w:bCs/>
                <w:spacing w:val="-7"/>
                <w:sz w:val="24"/>
                <w:szCs w:val="24"/>
                <w:highlight w:val="none"/>
                <w:lang w:val="en-US"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pacing w:val="-7"/>
                <w:sz w:val="40"/>
                <w:szCs w:val="40"/>
                <w:highlight w:val="none"/>
                <w:lang w:val="en-US" w:eastAsia="zh-CN"/>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814"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公开使用未经批准地名</w:t>
            </w:r>
          </w:p>
        </w:tc>
        <w:tc>
          <w:tcPr>
            <w:tcW w:w="1502"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不存在主观故意、未造成严重影响且行为人限期内改正。</w:t>
            </w:r>
          </w:p>
        </w:tc>
        <w:tc>
          <w:tcPr>
            <w:tcW w:w="1798" w:type="pct"/>
            <w:vAlign w:val="center"/>
          </w:tcPr>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《中华人民共和国行政处罚法》第三十三条 违法行为轻微并及时改正，没有造成危害后果的，不予行政处罚。初次违法且危害后果轻微并及时改正的，可以不予行政处罚</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第三款 对当事人的违法行为依法不予行政处罚的，行政机关应当对当事人进行教育。《内蒙古自治区地名管理规定》第三十三条 违反本规定，有下列行为之一的，由旗县级以上人民政府民政部门责令限期改正；逾期不改正的，处以1000元罚款：（一）公开使用未经批准地名的。</w:t>
            </w:r>
          </w:p>
        </w:tc>
        <w:tc>
          <w:tcPr>
            <w:tcW w:w="561"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w:t>
            </w:r>
          </w:p>
        </w:tc>
        <w:tc>
          <w:tcPr>
            <w:tcW w:w="814"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未按国家规定书写、译写、拼写标准地名</w:t>
            </w:r>
          </w:p>
        </w:tc>
        <w:tc>
          <w:tcPr>
            <w:tcW w:w="1502"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不存在主观故意、未造成严重影响且行为人限期内改正。</w:t>
            </w:r>
          </w:p>
        </w:tc>
        <w:tc>
          <w:tcPr>
            <w:tcW w:w="1798" w:type="pct"/>
            <w:vAlign w:val="center"/>
          </w:tcPr>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《中华人民共和国行政处罚法》第三十三条 违法行为轻微并及时改正，没有造成危害后果的，不予行政处罚。初次违法且危害后果轻微并及时改正的，可以不予行政处罚</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第三款 对当事人的违法行为依法不予行政处罚的，行政机关应当对当事人进行教育</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《内蒙古自治区地名管理规定》第三十三条 违反本规定，有下列行为之一的，由旗县级以上人民政府民政部门责令限期改正；逾期不改正的，处以1000元罚款：（二）未按国家规定书写、译写、拼写标准地名的。</w:t>
            </w:r>
          </w:p>
        </w:tc>
        <w:tc>
          <w:tcPr>
            <w:tcW w:w="561"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w:t>
            </w:r>
          </w:p>
        </w:tc>
        <w:tc>
          <w:tcPr>
            <w:tcW w:w="814"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擅自对地名进行命名、更名</w:t>
            </w:r>
          </w:p>
        </w:tc>
        <w:tc>
          <w:tcPr>
            <w:tcW w:w="1502"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不存在主观故意、未造成严重影响且行为人限期内改正。</w:t>
            </w:r>
          </w:p>
        </w:tc>
        <w:tc>
          <w:tcPr>
            <w:tcW w:w="1798" w:type="pct"/>
            <w:vAlign w:val="center"/>
          </w:tcPr>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《中华人民共和国行政处罚法》第三十三条 违法行为轻微并及时改正，没有造成危害后果的，不予行政处罚。初次违法且危害后果轻微并及时改正的，可以不予行政处罚</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第三款 对当事人的违法行为依法不予行政处罚的，行政机关应当对当事人进行教育</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《内蒙古自治区地名管理规定》第三十三条 违反本规定，有下列行为之一的，由旗县级以上人民政府民政部门责令限期改正；逾期不改正的，处以1000元罚款：（三）擅自对地名进行命名、更名的。</w:t>
            </w:r>
          </w:p>
        </w:tc>
        <w:tc>
          <w:tcPr>
            <w:tcW w:w="561"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4</w:t>
            </w:r>
          </w:p>
        </w:tc>
        <w:tc>
          <w:tcPr>
            <w:tcW w:w="814"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使用外国地名、人名命名地名</w:t>
            </w:r>
          </w:p>
        </w:tc>
        <w:tc>
          <w:tcPr>
            <w:tcW w:w="1502"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不存在主观故意、未造成严重影响且行为人限期内改正。</w:t>
            </w:r>
          </w:p>
        </w:tc>
        <w:tc>
          <w:tcPr>
            <w:tcW w:w="1798" w:type="pct"/>
            <w:vAlign w:val="center"/>
          </w:tcPr>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《中华人民共和国行政处罚法》第三十三条 违法行为轻微并及时改正，没有造成危害后果的，不予行政处罚。初次违法且危害后果轻微并及时改正的，可以不予行政处罚第三款 对当事人的违法行为依法不予行政处罚的，行政机关应当对当事人进行教育。</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《内蒙古自治区地名管理规定》第三十三条 违反本规定，有下列行为之一的，由旗县级以上人民政府民政部门责令限期改正；逾期不改正的，处以1000元罚款：（四）使用外国地名、人名命名地名的。</w:t>
            </w:r>
          </w:p>
        </w:tc>
        <w:tc>
          <w:tcPr>
            <w:tcW w:w="561"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5</w:t>
            </w:r>
          </w:p>
        </w:tc>
        <w:tc>
          <w:tcPr>
            <w:tcW w:w="814"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擅自移动、涂改、损坏、玷污和遮挡地名标志</w:t>
            </w:r>
          </w:p>
        </w:tc>
        <w:tc>
          <w:tcPr>
            <w:tcW w:w="1502"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不存在主观故意、未造成严重影响且行为人限期内改正。</w:t>
            </w:r>
          </w:p>
        </w:tc>
        <w:tc>
          <w:tcPr>
            <w:tcW w:w="1798" w:type="pct"/>
            <w:vAlign w:val="center"/>
          </w:tcPr>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《中华人民共和国行政处罚法》第三十三条 违法行为轻微并及时改正，没有造成危害后果的，不予行政处罚。初次违法且危害后果轻微并及时改正的，可以不予行政处罚</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第三款 对当事人的违法行为依法不予行政处罚的，行政机关应当对当事人进行教育。《内蒙古自治区地名管理规定》第三十三条 违反本规定，有下列行为之一的，由旗县级以上人民政府民政部门责令限期改正；逾期不改正的，处以1000元罚款：（五）擅自移动、涂改、损坏、玷污和遮挡地名标志的。</w:t>
            </w:r>
          </w:p>
        </w:tc>
        <w:tc>
          <w:tcPr>
            <w:tcW w:w="561" w:type="pct"/>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包容观察、说服教育、谈话提醒、回访督促、行政指导、行政告诫等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6</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志愿服务组织不依法记录志愿服务信息或者出具志愿服务记录证明的</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志愿服务组织不依法记录志愿服务信息或者出具志愿服务记录证明，且违法行为轻微并及时改正，没有造成危害后果的，不予行政处罚。</w:t>
            </w:r>
          </w:p>
        </w:tc>
        <w:tc>
          <w:tcPr>
            <w:tcW w:w="1798" w:type="pct"/>
            <w:vAlign w:val="center"/>
          </w:tcPr>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《中华人民共和国行政处罚法》第三十三条 违法行为轻微并及时改正，没有造成危害后果的，不予行政处罚。初次违法且危害后果轻微并及时改正的，可以不予行政处罚</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第三款 对当事人的违法行为依法不予行政处罚的，行政机关应当对当事人进行教育。</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《志愿服务条例》</w:t>
            </w:r>
            <w:r>
              <w:rPr>
                <w:rFonts w:hint="eastAsia" w:ascii="仿宋_GB2312" w:hAnsi="仿宋_GB2312" w:eastAsia="仿宋_GB2312" w:cs="仿宋_GB2312"/>
                <w:i w:val="0"/>
                <w:iCs w:val="0"/>
                <w:color w:val="000000"/>
                <w:kern w:val="2"/>
                <w:sz w:val="24"/>
                <w:szCs w:val="24"/>
                <w:u w:val="none"/>
                <w:lang w:val="en" w:eastAsia="zh-CN" w:bidi="ar-SA"/>
              </w:rPr>
              <w:t xml:space="preserve"> </w:t>
            </w:r>
            <w:r>
              <w:rPr>
                <w:rFonts w:hint="eastAsia" w:ascii="仿宋_GB2312" w:hAnsi="仿宋_GB2312" w:eastAsia="仿宋_GB2312" w:cs="仿宋_GB2312"/>
                <w:i w:val="0"/>
                <w:iCs w:val="0"/>
                <w:color w:val="000000"/>
                <w:kern w:val="2"/>
                <w:sz w:val="24"/>
                <w:szCs w:val="24"/>
                <w:u w:val="none"/>
                <w:lang w:val="en-US" w:eastAsia="zh-CN" w:bidi="ar-SA"/>
              </w:rPr>
              <w:t>第三十八条 志愿服务组织不依法记录志愿服务信息或者出具志愿服务记录证明的，由民政部门予以警告，责令限期改正；逾期不改正的，责令限期停止活动，并可以向社会和有关单位通报。</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通过约谈，对当事人进行教育，指出问题，督促整改。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7</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志愿服务组织、志愿者向志愿服务对象收取或者变相收取报酬</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志愿服务组织、志愿者向志愿服务对象收取或者变相收取报酬，且违法行为轻微并及时改正，没有造成危害后果的，退还收取的报酬。</w:t>
            </w:r>
          </w:p>
        </w:tc>
        <w:tc>
          <w:tcPr>
            <w:tcW w:w="1798" w:type="pct"/>
            <w:vAlign w:val="center"/>
          </w:tcPr>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《中华人民共和国行政处罚法》第三十三条 违法行为轻微并及时改正，没有造成危害后果的，不予行政处罚。初次违法且危害后果轻微并及时改正的，可以不予行政处罚</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第三款 对当事人的违法行为依法不予行政处罚的，行政机关应当对当事人进行教育</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《志愿服务条例》第三十七条 志愿服务组织、志愿者向志愿服务对象收取或者变相收取报酬的，由民政部门予以警告，责令退还收取的报酬；情节严重的，对有关组织或者个人并处所收取报酬一倍以上五倍以下的罚款。</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对当事人进行教育，回访跟踪整改情况。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8</w:t>
            </w:r>
          </w:p>
        </w:tc>
        <w:tc>
          <w:tcPr>
            <w:tcW w:w="814"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志愿服务组织泄露志愿者有关信息、侵害志愿服务对象个人隐私</w:t>
            </w:r>
          </w:p>
        </w:tc>
        <w:tc>
          <w:tcPr>
            <w:tcW w:w="1502"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志愿服务组织泄露志愿者有关信息、侵害志愿服务对象个人隐私的，且违法行为轻微并及时改正，没有造成危害后果的，不予行政处罚。</w:t>
            </w:r>
          </w:p>
        </w:tc>
        <w:tc>
          <w:tcPr>
            <w:tcW w:w="1798" w:type="pct"/>
            <w:vAlign w:val="center"/>
          </w:tcPr>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《中华人民共和国行政处罚法》第三十三条 违法行为轻微并及时改正，没有造成危害后果的，不予行政处罚。初次违法且危害后果轻微并及时改正的，可以不予行政处罚</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第三款 对当事人的违法行为依法不予行政处罚的，行政机关应当对当事人进行教育</w:t>
            </w:r>
          </w:p>
          <w:p>
            <w:pPr>
              <w:keepNext w:val="0"/>
              <w:keepLines w:val="0"/>
              <w:widowControl/>
              <w:suppressLineNumbers w:val="0"/>
              <w:spacing w:line="240" w:lineRule="auto"/>
              <w:ind w:firstLine="480" w:firstLineChars="20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《志愿服务条例》第三十六条  志愿服务组织泄露志愿者有关信息、侵害志愿服务对象个人隐私的，由民政部门予以警告，责令限期改正；逾期不改正的，责令限期停止活动并进行整改；情节严重的，吊销登记证书并予以公告。</w:t>
            </w:r>
          </w:p>
        </w:tc>
        <w:tc>
          <w:tcPr>
            <w:tcW w:w="561" w:type="pct"/>
            <w:vAlign w:val="center"/>
          </w:tcPr>
          <w:p>
            <w:pPr>
              <w:keepNext w:val="0"/>
              <w:keepLines w:val="0"/>
              <w:widowControl/>
              <w:suppressLineNumbers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停止活动并进行整改，对当事人进行教育，回访跟踪整改情况。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000" w:type="pct"/>
            <w:gridSpan w:val="5"/>
            <w:vAlign w:val="center"/>
          </w:tcPr>
          <w:p>
            <w:pPr>
              <w:keepNext w:val="0"/>
              <w:keepLines w:val="0"/>
              <w:widowControl/>
              <w:suppressLineNumbers w:val="0"/>
              <w:spacing w:line="240" w:lineRule="auto"/>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iCs w:val="0"/>
                <w:color w:val="000000"/>
                <w:kern w:val="0"/>
                <w:sz w:val="40"/>
                <w:szCs w:val="40"/>
                <w:u w:val="none"/>
                <w:lang w:val="en-US" w:eastAsia="zh-CN" w:bidi="ar"/>
              </w:rPr>
              <w:t>消防救援大队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消防设施器材或者消防安全标志未保持完好有效的。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常闭式防火门处于开启状态或闭门器损坏不超过3处，当场改正的。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2、《中华人民共和国消防法》第十六条第二款规定机关、团体、企业、事业等单位应当按照国家标准、行业标准配置消防设施、器材，设置消防安全标志，并定期组织检验、维修，确保完好有效。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消防设施、器材或者消防安全标志的配置、设置不符合国家标准、行业标准，或者未保持完好有效的。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火灾自动报警系统功能正常，仅探测器防尘罩未摘取且单个防火分区不超过2处，当场改正的。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2、《中华人民共和国消防法》第十六条第二款规定机关、团体、企业、事业等单位应当按照国家标准、行业标准配置消防设施、器材，设置消防安全标志，并定期组织检验、维修，确保完好有效。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消防设施、器材或者消防安全标志的配置、设置不符合国家标准、行业标准，或者未保持完好有效的。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室内消火栓系统功能正常，仅消火栓箱内水枪、水带缺损不超过2处，或遮挡消火栓不超过2处，当场改正的。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2、《中华人民共和国消防法》第十六条第二款规定机关、团体、企业、事业等单位应当按照国家标准、行业标准配置消防设施、器材，设置消防安全标志，并定期组织检验、维修，确保完好有效。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4</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损坏、挪用或者擅自拆除、停用消防设施、器材的。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挪用、损坏灭火器不超过2处，当场改正的。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2、《中华人民共和国消防法》第十六条第二款规定机关、团体、企业、事业等单位应当按照国家标准、行业标准配置消防设施、器材，设置消防安全标志，并定期组织检验、维修，确保完好有效。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5</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占用、堵塞、封闭疏散通道、安全出口或者有其他妨碍安全疏散行为的。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占用疏散通道、安全出口宽度不超过该疏散通道、安全出口总宽度20%，未影响人员通行，当场改正的。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2、《中华人民共和国消防法》第十六条第四款规定机关、团体、企业、事业等单位应当保障疏散通道、安全出口、消防车通道畅通，保证防火防烟分区、防火间距符合消防技术标准。</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6</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埋压、圈占、遮挡消火栓或者占用防火间距的。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使用非固定的建（构）筑物或设施占用防火间距，当场改正的。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7</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埋压、圈占、遮挡消火栓或者占用防火间距的。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埋压、圈占、遮挡消火栓，未影响灭火救援使用，当场改正的。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8</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占用、堵塞、封闭消防车通道，妨碍消防车通行的。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占用消防车通道，未影响消防车通行，当场改正的。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2、《中华人民共和国消防法》第十六条第四款规定机关、团体、企业、事业等单位应当保障疏散通道、安全出口、消防车通道畅通，保证防火防烟分区、防火间距符合消防技术标准。</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9</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消防设施、器材未保持完好有效的。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火灾自动报警系统探测器损坏、故障，单个防火分区内不超过2处，且不影响区域和系统整体功能，2日内改正的。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2、《中华人民共和国消防法》第十六条第二款规定机关、团体、企业、事业等单位应当按照国家标准、行业标准配置消防设施、器材，设置消防安全标志，并定期组织检验、维修，确保完好有效。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10</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消防设施、器材未保持完好有效的。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自动灭火系统的喷头被遮挡或损坏，单个防火分区内不超过2个，且不影响区域和系统整体功能，2日内改正的。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2、《中华人民共和国消防法》第十六条第二款规定机关、团体、企业、事业等单位应当按照国家标准、行业标准配置消防设施、器材，设置消防安全标志，并定期组织检验、维修，确保完好有效。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11</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消防设施、器材未保持完好有效的。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应急照明和疏散指示标志损坏、故障，单个防火分区或疏散楼梯内不超过2处，且不影响人员疏散逃生引导，2日内改正的。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2、《中华人民共和国消防法》第十六条第二款规定机关、团体、企业、事业等单位应当按照国家标准、行业标准配置消防设施、器材，设置消防安全标志，并定期组织检验、维修，确保完好有效。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12</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占用、堵塞、封闭疏散通道、安全出口或者有其他妨碍安全疏散行为的。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堵塞、封闭疏散通道、安全出口数量不超过2处，当场改正的。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13</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占用、堵塞、封闭消防车通道，妨碍消防车通行的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堵塞、封闭消防车通道，不超过1处，当场改正的。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14</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埋压、圈占、遮挡消火栓或者占用防火间距的。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占用防火间距不超过1处，2日内改正的。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15</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埋压、圈占、遮挡消火栓或者占用防火间距的。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埋压、圈占消火栓不超过2处，2日内改正的。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16</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消防设施、器材未保持完好有效的。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自动灭火系统、消火栓系统的压力、液位仪表等组件缺损、失效，但不影响系统功能，不超过2处，2日内改正的。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2、《中华人民共和国消防法》第十六条第二款规定机关、团体、企业、事业等单位应当按照国家标准、行业标准配置消防设施、器材，设置消防安全标志，并定期组织检验、维修，确保完好有效。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17</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占用、堵塞、封闭疏散通道、安全出口或者有其他妨碍安全疏散行为的。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中庭内设置商铺或堆放可燃物，2日内改正的。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18</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占用、堵塞、封闭疏散通道、安全出口或者有其他妨碍安全疏散行为的。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防火卷帘下堆放物品，影响卷帘降落不超过2处，当场改正的。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19</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人员密集场所在门窗上设置影响逃生和灭火救援的障碍物的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在人员密集场所除消防救援窗、排烟窗以外的其他门窗设置影响逃生和灭火救援的障碍物不超过3处，2日内改正的。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20</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不按照国家标准、行业标准开展消防技术服务活动的。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消防设施维护保养检测机构未在经其维护保养的消防设施所在建筑的醒目位置上公示消防技术服务信息，2日内改正的。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三十四条规定消防设施维护保养检测、消防安全评估等消防技术服务机构应当符合从业条件，执业人员应当依法获得相应的资格。依照法律、行政法规、国家标准、行业标准和执业准则，接受委托提供消防技术服务，并对服务质量负责。</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21</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不按照国家标准、行业标准开展消防技术服务活动的。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消防技术服务机构未公示营业执照、工作程序、收费标准、从业守则、注册消防工程师注册证书、投诉电话等事项，2日内改正的。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三十四条规定消防设施维护保养检测、消防安全评估等消防技术服务机构应当符合从业条件，执业人员应当依法获得相应的资格。依照法律、行政法规、国家标准、行业标准和执业准则，接受委托提供消防技术服务，并对服务质量负责。</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22</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消防设施维护保养检测、消防安全评估等消防技术服务机构，不具备从业条件从事消防技术服务活动或者出具虚假文件的。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消防技术服务机构出具的消防技术服务文件内容与实际情况轻微不符（参照本清单有关条款界定）不超过2处，2日内改正的。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三十四条规定消防设施维护保养检测、消防安全评估等消防技术服务机构应当符合从业条件，执业人员应当依法获得相应的资格。依照法律、行政法规、国家标准、行业标准和执业准则，接受委托提供消防技术服务，并对服务质量负责。</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23</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公众聚集场所未经消防救援机构许可，擅自投入使用、营业的。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未达到消防安全重点单位界定标准的公众聚集场所，未经消防救援机构许可擅自投入使用、营业，但是在违法行为被发现2日内主动停止使用、营业的。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五条规定公众聚集场所投入使用、营业前消防安全检查实行告知承诺管理。公众聚集场所在投入使用、营业前，建设单位或者使用单位应当向场所所在地的县级以上地方人民政府消防救援机构申请消防安全检查，作出场所符合消防技术标准和管理规定的承诺，提交规定的材料，并对其承诺和材料的真实性负责。</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24</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公众聚集场所未经消防救援机构许可，擅自投入使用、营业的，或者经核查发现场所使用、营业情况与承诺内容不符的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未达到消防安全重点单位界定标准的公众聚集场所，采取告知承诺方式办理投入使用、营业前消防安全检查，经核查现场与承诺内容不符，但实际未营业或者在核查2日内主动停止使用、营业的。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五条规定公众聚集场所投入使用、营业前消防安全检查实行告知承诺管理。公众聚集场所在投入使用、营业前，建设单位或者使用单位应当向场所所在地的县级以上地方人民政府消防救援机构申请消防安全检查，作出场所符合消防技术标准和管理规定的承诺，提交规定的材料，并对其承诺和材料的真实性负责。</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25</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过时引起火灾的。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因村居民过失引发自家户内火灾，未给公共消防安全造成危害或未造成严重社会影响的。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26</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消防设施、器材、消防安全标志配置、设置不符合标准及消防设施、器材、消防安全标志未保持完好有效的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和消防安全标志因问题或故障未保持完好有效，但是当事人有证据证明：已在消防监督检查前自行发现前述问题、故障，并已采取有效措施开展整改，同时已落实人防、物防、技防等消防安全防范措施，或者将危险部位停用，且不影响其他区域消防安全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2、《中华人民共和国消防法》第十五条第二款机关、团体、企业、事业等单位应当按照国家标准、行业标准配置消防设施、器材，设置消防安全标志，并定期组织检验、维修，确保完好有效。</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27</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损坏、挪用消防设施、器材及擅自拆除、停用消防设施、器材的</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停用局部区域的消防设施、器材，但是当事人有证据证明：因室内装修、设备维护检测等确需停用，并已书面报经消防安全责任人或者消防安全管理人同意，同时已落实人防、物防、技防等消防安全防范措施，且不影响其他区域消防设施、器材正常使用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1、《中华人民共和国行政处罚法》第三十三条第二款规定初次违法且危害后果轻微及时改正的，可以不予行政处罚。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规定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对当事人进行批评教育，当事人应承诺同类型问题不在违反，并填写《轻微消防安全违法行为整改承诺书》。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bCs/>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caps w:val="0"/>
                <w:color w:val="auto"/>
                <w:spacing w:val="0"/>
                <w:kern w:val="0"/>
                <w:sz w:val="40"/>
                <w:szCs w:val="40"/>
                <w:shd w:val="clear" w:color="auto" w:fill="FFFFFF"/>
                <w:lang w:val="en-US" w:eastAsia="zh-CN" w:bidi="ar"/>
              </w:rPr>
              <w:t>文化旅游广电局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1</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互联网上网服务营业场所经营单位未悬挂《网络文化经营许可证》</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1.已依法取得《网络文化经营许可证》；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4.当场按规定悬挂。</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《互联网上网服务营业场所管理条例》</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第二十条 互联网上网服务营业场所经营单位应当在营业场所的显著位置悬挂《网络文化经营许可证》和营业执照。</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第三十一条 互联网上网服务营业场所经营单位违反本条例的规定，有下列行为之一的，由文化行政部门给予警告，可以并处15000元以下的罚款；情节严重的，责令停业整顿，直至吊销《网络文化经营许可证》：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（五）未悬挂《网络文化经营许可证》或者未成年人禁入标志的。</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2</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互联网上网服务营业场所变更名称、住所、法定代表人或者主要负责人、注册资本、网络地址或者终止经营活动，未向文化行政部门、公安机关办理有关手续或者备案</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1.已依法取得《网络文化经营许可证》；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4.立即自行改正或在责令改正的期限内改正。</w:t>
            </w:r>
          </w:p>
        </w:tc>
        <w:tc>
          <w:tcPr>
            <w:tcW w:w="1798" w:type="pct"/>
            <w:vAlign w:val="center"/>
          </w:tcPr>
          <w:p>
            <w:pPr>
              <w:shd w:val="solid" w:color="FFFFFF" w:fill="auto"/>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《互联网上网服务营业场所管理条例》第十三条第二款  互联网上网服务营业场所经营单位变更名称、住所、法定代表人或者主要负责人、注册资本、网络地址或者终止经营活动的，应当依法到工商行政管理部门办理变更登记或者注销登记，并到文化行政部门、公安机关办理有关手续或者备案。</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第三十三条　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（五）变更名称、住所、法定代表人或者主要负责人、注册资本、网络地址或者终止经营活动，未向文化行政部门、公安机关办理有关手续或者备案的。</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3</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娱乐场所从业人员在营业期间未统一着装并佩带工作标志</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3.立即自行改正或在责令改正的期限内改正。</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《娱乐场所管理条例》第二十七条第一款  营业期间，娱乐场所的从业人员应当统一着工作服，佩戴工作标志并携带居民身份证或者外国人就业许可证。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第四十九条 娱乐场所违反本条例规定，有下列情形之一的，由县级人民政府文化主管部门责令改正，给予警告；情节严重的，责令停业整顿1个月至3个月：</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（三）从业人员在营业期间未统一着装并佩带工作标志的。</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4</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娱乐场所未在显著位置悬挂《娱乐经营许可证》</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1.已依法取得《娱乐经营许可证》；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4.当场按规定悬挂。</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《娱乐场所管理办法》第二十四条  娱乐场所应当在显著位置悬挂娱乐经营许可证、未成年人禁入或者限入标志，标志应当注明“12318”文化市场举报电话。</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第三十三条  娱乐场所违反本办法第二十四条规定的，由县级以上人民政府文化主管部门责令改正，予以警告。</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5</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从事艺术品经营活动的经营单位，未在规定时间内向文化行政部门备案</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3.立即自行改正或在责令改正的期限内改正。</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《艺术品经营管理办法》第五条第一款  设立从事艺术品经营活动的经营单位，应当到其住所地县级以上人民政府工商行政管理部门申领营业执照，并在领取营业执照之日起15日内，到其住所地县级以上人民政府文化行政部门备案。</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第十九条 违反本办法第五条规定的，由县级以上人民政府文化行政部门或者依法授权的文化市场综合执法机构责令改正，并可根据情节轻重处10000元以下罚款。</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6</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其他经营单位增设艺术品经营业务未按规定办理备案手续</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3.立即自行改正或在责令改正的期限内改正。</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《艺术品经营管理办法》第五条第二款  其他经营单位增设艺术品经营业务的，应当按前款办理备案手续。</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第十九条 违反本办法第五条规定的，由县级以上人民政府文化行政部门或者依法授权的文化市场综合执法机构责令改正，并可根据情节轻重处10000元以下罚款。</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7</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非经营性互联网文化单位，逾期未办理备案手续</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3.立即自行改正或在责令改正的期限内改正。</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《互联网文化管理暂行规定》第十条  非经营性互联网文化单位，应当自设立之日起60日内向所在地省、自治区、直辖市人民政府文化行政部门备案，并提交下列文件：（一）备案表； （二）章程；（三）法定代表人或者主要负责人的身份证明文件；（四）域名登记证明；（五）依法需要提交的其他文件。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第二十二条  非经营性互联网文化单位违反本规定第十条，逾期未办理备案手续的，由县级以上人民政府文化行政部门或者文化市场综合执法机构责令限期改正；拒不改正的，责令停止互联网文化活动，并处1000元以下罚款。</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8</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经营性互联网文化单位变更名称等事项，未自变更之日起20日内到所在地省级文化行政部门办理变更手续的；非经营性互联网文化单位变更名称等事项，未自变更之日起60日内到所在地省级文化行政部门办理备案手续</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1.已依法取得文化行政部门颁发的《网络文化经营许可证》；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3.立即自行改正或在责令改正期限内改正；</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4.没有造成危害后果或者危害后果轻微，且没有违法所得。</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《互联网文化管理暂行规定》第十三条  经营性互联网文化单位变更单位名称、域名、法定代表人或者主要负责人、注册地址、经营地址、股权结构以及许可经营范围的，应当自变更之日起20日内到所在地省、自治区、直辖市人民政府文化行政部门办理变更或者备案手续。</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非经营性互联网文化单位变更名称、地址、域名、法定代表人或者主要负责人、业务范围的，应当自变更之日起60日内到所在地省、自治区、直辖市人民政府文化行政部门办理备案手续。</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第二十四条  经营性互联网文化单位违反本规定第十三条的，由县级以上人民政府文化行政部门或者文化市场综合执法机构责令改正，没收违法所得，并处10000元以上30000元以下罚款；情节严重的，责令停业整顿直至吊销《网络文化经营许可证》；构成犯罪的，依法追究刑事责任。</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xml:space="preserve">    非经营性互联网文化单位违反本规定第十三条的，由县级以上人民政府文化行政部门或者文化市场综合执法机构责令限期改正；拒不改正的，责令停止互联网文化活动，并处1000元以下罚款。</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9</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互联网文化单位未在其网站主页的显著位置标明文化行政部门颁发的《网络文化经营许可证》编号或者备案编号，标明国务院信息产业主管部门或者省、自治区、直辖市电信管理机构颁发的经营许可证编号或者备案编号。</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1.已依法取得文化行政部门颁发的《网络文化经营许可证》、国务院信息产业主管部门或者省、自治区、直辖市电信管理机构颁发的经营许可证；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3.立即自行改正或在责令改正期限内改正；</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4.没有造成危害后果或者危害后果轻微。</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《互联网文化管理暂行规定》第十二条　互联网文化单位应当在其网站主页的显著位置标明文化行政部门颁发的《网络文化经营许可证》编号或者备案编号，标明国务院信息产业主管部门或者省、自治区、直辖市电信管理机构颁发的经营许可证编号或者备案编号。</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第二十三条  经营性互联网文化单位违反本规定第十二条的，由县级以上人民政府文化行政部门或者文化市场综合执法机构责令限期改正，并可根据情节轻重处10000元以下罚款。</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xml:space="preserve">    非经营性互联网文化单位违反本规定第十二条的，由县级以上人民政府文化行政部门或者文化市场综合执法机构责令限期改正；拒不改正的，责令停止互联网文化活动，并处500元以下罚款。</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10</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旅行社及其分社未在经营场所的显要位置悬挂旅行社业务经营许可证、备案登记证明</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1.已依法取得《旅行社业务经营许可证》、《旅行社分社备案登记证明》或者《旅行社服务网点备案登记证明》；</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4.立即自行改正或在责令改正的期限内改正。</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《旅行社条例实施细则》第二十六条  旅行社及其分社、服务网点，应当将《旅行社业务经营许可证》、《旅行社分社备案登记证明》或者《旅行社服务网点备案登记证明》，与营业执照一起，悬挂在经营场所的显要位置。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第五十七条 违反本实施细则第十二条第三款、第二十三条、第二十六条的规定，擅自引进外商投资、设立服务网点未在规定期限内备案，或者旅行社及其分社、服务网点未悬挂旅行社业务经营许可证、备案登记证明的，由县级以上旅游行政管理部门责令改正，可以处1万元以下的罚款。</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11</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旅行社变更名称、经营场所、法定代表人等登记事项或者终止经营，未在规定期限内向原许可的旅游行政管理部门备案，换领或者交回旅行社业务经营许可证</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2.已依法取得《旅行社业务经营许可证》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3.没有造成危害后果或者危害后果轻微；</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4.立即自行改正或在责令改正的期限内改正。</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《旅行社条例》</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第十二条　旅行社变更名称、经营场所、法定代表人等登记事项或者终止经营的，应当到工商行政管理部门办理相应的变更登记或者注销登记，并在登记办理完毕之日起10个工作日内，向原许可的旅游行政管理部门备案，换领或者交回旅行社业务经营许可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第五十条  违反本条例的规定，旅行社有下列情形之一的，由旅游行政管理部门责令改正；拒不改正的，处1万元以下的罚款：</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(一)变更名称、经营场所、法定代表人等登记事项或者终止经营，未在规定期限内向原许可的旅游行政管理部门备案，换领或者交回旅行社业务经营许可证的。</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12</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导游在执业过程中未携带电子导游证、佩戴导游身份标识，并开启导游执业相关应用软件</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2.当场改正；</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3.经复查没有此类违法行为；</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4.没有造成危害后果或者危害后果轻微。</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《导游人员管理条例》第八条第一款  导游人员进行导游活动时，应当佩戴导游证。</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第二十一条  导游人员进行导游活动时未佩戴导游证的，由旅游行政部门责令改正；拒不改正的，处500元以下的罚款。</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《导游管理办法》第二十条第一款  导游在执业过程中应当携带电子导游证、佩戴导游身份标识，并开启导游执业相关应用软件。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第三十二条  导游违反本办法有关规定的，依照下列规定处理：（二）违反本办法第二十条第一款规定的，依据《导游人员管理条例》第二十一条的规定处罚。</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insoku/>
              <w:autoSpaceDE/>
              <w:autoSpaceDN w:val="0"/>
              <w:spacing w:line="240" w:lineRule="auto"/>
              <w:jc w:val="center"/>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13</w:t>
            </w:r>
          </w:p>
        </w:tc>
        <w:tc>
          <w:tcPr>
            <w:tcW w:w="814"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导游未按期报告信息变更情况、申请变更导游证信息、更换导游身份标识</w:t>
            </w:r>
          </w:p>
        </w:tc>
        <w:tc>
          <w:tcPr>
            <w:tcW w:w="1502"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同时符合以下条件：</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1.初次违法；</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2.立即自行改正或在责令改正的期限内改正；</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3.没有造成危害后果或者危害后果轻微。</w:t>
            </w:r>
          </w:p>
        </w:tc>
        <w:tc>
          <w:tcPr>
            <w:tcW w:w="1798" w:type="pct"/>
            <w:vAlign w:val="center"/>
          </w:tcPr>
          <w:p>
            <w:pPr>
              <w:kinsoku/>
              <w:autoSpaceDE/>
              <w:autoSpaceDN w:val="0"/>
              <w:spacing w:line="240" w:lineRule="auto"/>
              <w:jc w:val="left"/>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《导游管理办法》第十五条 导游应当自下列情形发生之日起10个工作日内，通过全国旅游监管服务信息系统提交相应材料，申请变更导游证信息：</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（一）姓名、身份证号、导游等级和语种等信息发生变化的；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（二）与旅行社订立的劳动合同解除、终止或者在旅游行业组织取消注册后，在3个月内与其他旅行社订立劳动合同或者在其他旅游行业组织注册的；（三）经常执业地区发生变化的；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（四）其他导游身份信息发生变化的。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旅行社或者旅游行业组织应当自收到申请之日起3个工作日内对信息变更情况进行核实。所在地旅游主管部门应当自旅行社或者旅游行业组织核实信息之日起5个工作日内予以审核确认。</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第三十三条  第三十三条 违反本办法规定，导游有下列行为的，由县级以上旅游主管部门责令改正，并可以处1000元以下罚款；情节严重的，可以处1000元以上5000元以下罚款：</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（一）未按期报告信息变更情况的；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（二）未申请变更导游证信息的；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（三）未更换导游身份标识的；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（四）不依照本办法第二十四条规定采取相应措施的；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（五）未按规定参加旅游主管部门组织的培训的；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（六）向负责监督检查的旅游主管部门隐瞒有关情况、提供虚假材料或者拒绝提供反映其活动情况的真实材料的；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（七）在导游服务星级评价中提供虚假材料的。</w:t>
            </w:r>
            <w:r>
              <w:rPr>
                <w:rFonts w:hint="eastAsia" w:ascii="仿宋_GB2312" w:hAnsi="仿宋_GB2312" w:eastAsia="仿宋_GB2312" w:cs="仿宋_GB2312"/>
                <w:b w:val="0"/>
                <w:i w:val="0"/>
                <w:snapToGrid/>
                <w:color w:val="000000"/>
                <w:sz w:val="24"/>
                <w:szCs w:val="24"/>
                <w:u w:val="none"/>
              </w:rPr>
              <w:br w:type="textWrapping"/>
            </w:r>
            <w:r>
              <w:rPr>
                <w:rFonts w:hint="eastAsia" w:ascii="仿宋_GB2312" w:hAnsi="仿宋_GB2312" w:eastAsia="仿宋_GB2312" w:cs="仿宋_GB2312"/>
                <w:b w:val="0"/>
                <w:i w:val="0"/>
                <w:snapToGrid/>
                <w:color w:val="000000"/>
                <w:sz w:val="24"/>
                <w:szCs w:val="24"/>
                <w:u w:val="none"/>
              </w:rPr>
              <w:t>　　旅行社或者旅游行业组织有前款第（一）项和第（七）项规定行为的，依照前款规定处罚。</w:t>
            </w:r>
          </w:p>
        </w:tc>
        <w:tc>
          <w:tcPr>
            <w:tcW w:w="561" w:type="pct"/>
            <w:vAlign w:val="center"/>
          </w:tcPr>
          <w:p>
            <w:pPr>
              <w:kinsoku/>
              <w:autoSpaceDE/>
              <w:autoSpaceDN w:val="0"/>
              <w:spacing w:line="240" w:lineRule="auto"/>
              <w:jc w:val="both"/>
              <w:textAlignment w:val="top"/>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pStyle w:val="2"/>
              <w:jc w:val="center"/>
              <w:rPr>
                <w:rFonts w:hint="eastAsia" w:ascii="仿宋_GB2312" w:hAnsi="仿宋_GB2312" w:eastAsia="仿宋_GB2312" w:cs="仿宋_GB2312"/>
                <w:b/>
                <w:bCs/>
                <w:i w:val="0"/>
                <w:snapToGrid/>
                <w:color w:val="000000"/>
                <w:sz w:val="24"/>
                <w:szCs w:val="24"/>
                <w:u w:val="none"/>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kern w:val="2"/>
                <w:sz w:val="40"/>
                <w:szCs w:val="40"/>
                <w:lang w:val="en-US" w:eastAsia="zh-CN" w:bidi="ar-SA"/>
              </w:rPr>
              <w:t>人力资源和社会保障局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未经许可，擅自经营劳务派遣业务</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没有违法所得，涉及人数30人以下，并及时停止违法行为的。</w:t>
            </w:r>
          </w:p>
        </w:tc>
        <w:tc>
          <w:tcPr>
            <w:tcW w:w="1798" w:type="pc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color w:val="auto"/>
                <w:kern w:val="0"/>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《中华人民共和国劳动合同法》第九十二条第一款</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回访督查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both"/>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用人单位未及时为劳动者办理就业登记手续</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both"/>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招用人员后，录用之日起30日内未办理登记手续，但积极改正的；与职工终止或解除劳动关系15日内未办理登记手续，但改正的。</w:t>
            </w:r>
          </w:p>
        </w:tc>
        <w:tc>
          <w:tcPr>
            <w:tcW w:w="1798"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both"/>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《就业服务与就业管理规定》第七十五条</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回访督查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center"/>
              <w:textAlignment w:val="auto"/>
              <w:rPr>
                <w:rFonts w:hint="eastAsia" w:ascii="仿宋_GB2312" w:hAnsi="仿宋_GB2312" w:eastAsia="仿宋_GB2312" w:cs="仿宋_GB2312"/>
                <w:b/>
                <w:bCs/>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snapToGrid/>
                <w:color w:val="000000"/>
                <w:sz w:val="40"/>
                <w:szCs w:val="40"/>
                <w:u w:val="none"/>
                <w:lang w:val="en-US" w:eastAsia="zh-CN"/>
              </w:rPr>
              <w:t>工业和信息化局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Calibri" w:eastAsia="仿宋_GB2312" w:cs="仿宋_GB2312"/>
                <w:sz w:val="24"/>
                <w:szCs w:val="24"/>
                <w:lang w:val="en-US" w:eastAsia="zh-CN"/>
              </w:rPr>
              <w:t>1</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ascii="仿宋_GB2312" w:hAnsi="Calibri" w:eastAsia="仿宋_GB2312" w:cs="仿宋_GB2312"/>
                <w:sz w:val="24"/>
                <w:szCs w:val="24"/>
              </w:rPr>
              <w:t>重点用能单位未按照本法规定报送能源利用状况报告或者报告内容不实的</w:t>
            </w:r>
            <w:r>
              <w:rPr>
                <w:rFonts w:hint="default" w:ascii="Calibri" w:hAnsi="Calibri" w:cs="Calibri"/>
                <w:sz w:val="24"/>
                <w:szCs w:val="24"/>
              </w:rPr>
              <w:t xml:space="preserve"> </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Calibri" w:eastAsia="仿宋_GB2312" w:cs="仿宋_GB2312"/>
                <w:sz w:val="24"/>
                <w:szCs w:val="24"/>
              </w:rPr>
              <w:t>重点用能单位未按照本法规定报送能源利用状况报告或者报告内容不实的，由管理节能工作的部门责令限期改正；在规定时限内，按责令整改要求完成整改，不予处罚。</w:t>
            </w:r>
            <w:r>
              <w:rPr>
                <w:rFonts w:hint="default" w:ascii="Calibri" w:hAnsi="Calibri" w:cs="Calibri"/>
                <w:sz w:val="24"/>
                <w:szCs w:val="24"/>
              </w:rPr>
              <w:t xml:space="preserve"> </w:t>
            </w:r>
          </w:p>
        </w:tc>
        <w:tc>
          <w:tcPr>
            <w:tcW w:w="1798" w:type="pct"/>
            <w:vAlign w:val="center"/>
          </w:tcPr>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b/>
                <w:bCs/>
                <w:sz w:val="24"/>
                <w:szCs w:val="24"/>
              </w:rPr>
              <w:t>【法律】</w:t>
            </w:r>
            <w:r>
              <w:rPr>
                <w:rFonts w:hint="eastAsia" w:ascii="仿宋_GB2312" w:hAnsi="Calibri" w:eastAsia="仿宋_GB2312" w:cs="仿宋_GB2312"/>
                <w:sz w:val="24"/>
                <w:szCs w:val="24"/>
              </w:rPr>
              <w:t>《中华人民共和国节约能源法》（2016年修订本）</w:t>
            </w:r>
            <w:r>
              <w:rPr>
                <w:rFonts w:hint="default" w:ascii="Calibri" w:hAnsi="Calibri" w:cs="Calibri"/>
                <w:sz w:val="24"/>
                <w:szCs w:val="24"/>
              </w:rPr>
              <w:t xml:space="preserve">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color w:val="auto"/>
                <w:kern w:val="0"/>
                <w:sz w:val="24"/>
                <w:szCs w:val="24"/>
                <w:vertAlign w:val="baseline"/>
                <w:lang w:val="en-US" w:eastAsia="zh-CN" w:bidi="ar-SA"/>
              </w:rPr>
            </w:pPr>
            <w:r>
              <w:rPr>
                <w:rFonts w:hint="eastAsia" w:ascii="仿宋_GB2312" w:hAnsi="Calibri" w:eastAsia="仿宋_GB2312" w:cs="仿宋_GB2312"/>
                <w:sz w:val="24"/>
                <w:szCs w:val="24"/>
              </w:rPr>
              <w:t>第八十二条   重点用能单位未按照本法规定报送能源利用状况报告或者报告内容不实的，由管理节能工作的部门责令限期改正；逾期不改正的，处一万元以上五万元以下罚款。</w:t>
            </w:r>
            <w:r>
              <w:rPr>
                <w:rFonts w:hint="default" w:ascii="Calibri" w:hAnsi="Calibri" w:cs="Calibri"/>
                <w:sz w:val="24"/>
                <w:szCs w:val="24"/>
              </w:rPr>
              <w:t xml:space="preserve"> </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Calibri" w:eastAsia="仿宋_GB2312" w:cs="仿宋_GB2312"/>
                <w:sz w:val="24"/>
                <w:szCs w:val="24"/>
              </w:rPr>
              <w:t>说服教育、回访督促、行政指导、行政告诫等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Calibri" w:eastAsia="仿宋_GB2312" w:cs="仿宋_GB2312"/>
                <w:sz w:val="24"/>
                <w:szCs w:val="24"/>
                <w:lang w:val="en-US" w:eastAsia="zh-CN"/>
              </w:rPr>
              <w:t>2</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Calibri" w:eastAsia="仿宋_GB2312" w:cs="仿宋_GB2312"/>
                <w:sz w:val="24"/>
                <w:szCs w:val="24"/>
              </w:rPr>
              <w:t>重点用能单位未按照本法规定设立能源管理岗位，聘任能源管理负责人，并报管理节能工作的部门和有关部门备案的</w:t>
            </w:r>
            <w:r>
              <w:rPr>
                <w:rFonts w:hint="default" w:ascii="Calibri" w:hAnsi="Calibri" w:cs="Calibri"/>
                <w:sz w:val="24"/>
                <w:szCs w:val="24"/>
              </w:rPr>
              <w:t xml:space="preserve"> </w:t>
            </w:r>
          </w:p>
        </w:tc>
        <w:tc>
          <w:tcPr>
            <w:tcW w:w="1502"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Calibri" w:eastAsia="仿宋_GB2312" w:cs="仿宋_GB2312"/>
                <w:sz w:val="24"/>
                <w:szCs w:val="24"/>
              </w:rPr>
              <w:t>重点用能单位未按照本法规定设立能源管理岗位，聘任能源管理负责人，并报管理节能工作的部门和有关部门备案的，由管理节能工作的部门责令改正；在规定时限内，按责令整改要求完成整改，不予处罚。</w:t>
            </w:r>
            <w:r>
              <w:rPr>
                <w:rFonts w:hint="default" w:ascii="Calibri" w:hAnsi="Calibri" w:cs="Calibri"/>
                <w:sz w:val="24"/>
                <w:szCs w:val="24"/>
              </w:rPr>
              <w:t xml:space="preserve"> </w:t>
            </w:r>
          </w:p>
        </w:tc>
        <w:tc>
          <w:tcPr>
            <w:tcW w:w="1798" w:type="pct"/>
            <w:vAlign w:val="center"/>
          </w:tcPr>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b/>
                <w:bCs/>
                <w:sz w:val="24"/>
                <w:szCs w:val="24"/>
              </w:rPr>
              <w:t>【法律】</w:t>
            </w:r>
            <w:r>
              <w:rPr>
                <w:rFonts w:hint="eastAsia" w:ascii="仿宋_GB2312" w:hAnsi="Calibri" w:eastAsia="仿宋_GB2312" w:cs="仿宋_GB2312"/>
                <w:sz w:val="24"/>
                <w:szCs w:val="24"/>
              </w:rPr>
              <w:t>《中华人民共和国节约能源法》（2016年修订本）</w:t>
            </w:r>
            <w:r>
              <w:rPr>
                <w:rFonts w:hint="default" w:ascii="Calibri" w:hAnsi="Calibri" w:cs="Calibri"/>
                <w:sz w:val="24"/>
                <w:szCs w:val="24"/>
              </w:rPr>
              <w:t xml:space="preserve"> </w:t>
            </w:r>
          </w:p>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Calibri" w:eastAsia="仿宋_GB2312" w:cs="仿宋_GB2312"/>
                <w:sz w:val="24"/>
                <w:szCs w:val="24"/>
              </w:rPr>
              <w:t>第八十四条 重点用能单位未按照本法规定设立能源管理岗位，聘任能源管理负责人，并报管理节能工作的部门和有关部门备案的，由管理节能工作的部门责令改正；拒不改正的，处一万元以上三万元以下罚款。</w:t>
            </w:r>
            <w:r>
              <w:rPr>
                <w:rFonts w:hint="default" w:ascii="Calibri" w:hAnsi="Calibri" w:cs="Calibri"/>
                <w:sz w:val="24"/>
                <w:szCs w:val="24"/>
              </w:rPr>
              <w:t xml:space="preserve"> </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r>
              <w:rPr>
                <w:rFonts w:hint="eastAsia" w:ascii="仿宋_GB2312" w:hAnsi="Calibri" w:eastAsia="仿宋_GB2312" w:cs="仿宋_GB2312"/>
                <w:sz w:val="24"/>
                <w:szCs w:val="24"/>
              </w:rPr>
              <w:t>说服教育、回访督促、行政指导、行政告诫等</w:t>
            </w:r>
            <w:r>
              <w:rPr>
                <w:rFonts w:hint="default" w:ascii="Calibri" w:hAnsi="Calibri" w:cs="Calibri"/>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default" w:ascii="仿宋_GB2312" w:hAnsi="Calibri" w:eastAsia="仿宋_GB2312" w:cs="仿宋_GB2312"/>
                <w:sz w:val="24"/>
                <w:szCs w:val="24"/>
                <w:lang w:val="en-US"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Calibri" w:eastAsia="仿宋_GB2312" w:cs="仿宋_GB2312"/>
                <w:b/>
                <w:bCs/>
                <w:sz w:val="40"/>
                <w:szCs w:val="40"/>
                <w:lang w:val="en-US" w:eastAsia="zh-CN"/>
              </w:rPr>
              <w:t>林业和草原局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序号</w:t>
            </w:r>
          </w:p>
        </w:tc>
        <w:tc>
          <w:tcPr>
            <w:tcW w:w="814"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违法行为</w:t>
            </w:r>
          </w:p>
        </w:tc>
        <w:tc>
          <w:tcPr>
            <w:tcW w:w="1502"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免予处罚的情形</w:t>
            </w:r>
          </w:p>
        </w:tc>
        <w:tc>
          <w:tcPr>
            <w:tcW w:w="1798" w:type="pct"/>
            <w:vAlign w:val="center"/>
          </w:tcPr>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法律依据</w:t>
            </w:r>
          </w:p>
        </w:tc>
        <w:tc>
          <w:tcPr>
            <w:tcW w:w="561" w:type="pct"/>
            <w:vAlign w:val="center"/>
          </w:tcPr>
          <w:p>
            <w:pPr>
              <w:spacing w:line="24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配套监管</w:t>
            </w:r>
          </w:p>
          <w:p>
            <w:pPr>
              <w:spacing w:line="240" w:lineRule="auto"/>
              <w:jc w:val="center"/>
              <w:rPr>
                <w:rFonts w:hint="eastAsia" w:ascii="仿宋_GB2312" w:hAnsi="仿宋_GB2312" w:eastAsia="仿宋_GB2312" w:cs="仿宋_GB2312"/>
                <w:b/>
                <w:bCs/>
                <w:color w:val="auto"/>
                <w:kern w:val="0"/>
                <w:sz w:val="24"/>
                <w:szCs w:val="24"/>
                <w:lang w:val="en-US" w:eastAsia="zh-CN" w:bidi="ar-SA"/>
              </w:rPr>
            </w:pPr>
            <w:r>
              <w:rPr>
                <w:rFonts w:hint="eastAsia" w:ascii="仿宋_GB2312" w:hAnsi="仿宋_GB2312" w:eastAsia="仿宋_GB2312" w:cs="仿宋_GB2312"/>
                <w:b/>
                <w:color w:val="auto"/>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2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color w:val="000000"/>
                <w:kern w:val="2"/>
                <w:sz w:val="24"/>
                <w:szCs w:val="24"/>
                <w:vertAlign w:val="baseline"/>
                <w:lang w:val="en-US" w:eastAsia="zh-CN" w:bidi="ar-SA"/>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b/>
                <w:bCs/>
                <w:color w:val="000000"/>
                <w:kern w:val="2"/>
                <w:sz w:val="24"/>
                <w:szCs w:val="24"/>
                <w:vertAlign w:val="baseline"/>
                <w:lang w:val="en-US" w:eastAsia="zh-CN" w:bidi="ar-SA"/>
              </w:rPr>
            </w:pPr>
            <w:r>
              <w:rPr>
                <w:rFonts w:hint="eastAsia" w:ascii="仿宋_GB2312" w:hAnsi="仿宋_GB2312" w:eastAsia="仿宋_GB2312" w:cs="仿宋_GB2312"/>
                <w:b w:val="0"/>
                <w:bCs w:val="0"/>
                <w:color w:val="000000"/>
                <w:kern w:val="2"/>
                <w:sz w:val="24"/>
                <w:szCs w:val="24"/>
                <w:vertAlign w:val="baseline"/>
                <w:lang w:val="en-US" w:eastAsia="zh-CN" w:bidi="ar-SA"/>
              </w:rPr>
              <w:t>1</w:t>
            </w:r>
          </w:p>
        </w:tc>
        <w:tc>
          <w:tcPr>
            <w:tcW w:w="81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为食用非法购买其他陆生野生动物及其制品</w:t>
            </w:r>
          </w:p>
        </w:tc>
        <w:tc>
          <w:tcPr>
            <w:tcW w:w="1502"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bCs/>
                <w:i w:val="0"/>
                <w:caps w:val="0"/>
                <w:color w:val="auto"/>
                <w:spacing w:val="0"/>
                <w:kern w:val="0"/>
                <w:sz w:val="24"/>
                <w:szCs w:val="24"/>
                <w:shd w:val="clear" w:color="auto" w:fill="FFFFFF"/>
                <w:lang w:val="en-US" w:eastAsia="zh-CN" w:bidi="ar"/>
              </w:rPr>
              <w:t>同时满足下列情形</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（1）属于首次违法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（2）主动停止违法行为，主动上缴野生动物及其制品且危害后果轻微</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（3）经批评教育且违法行为人立即纠正。</w:t>
            </w:r>
          </w:p>
        </w:tc>
        <w:tc>
          <w:tcPr>
            <w:tcW w:w="1798" w:type="pc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《中华人民共和国行政处罚法》第三十三条第二款规定初次违法且危害后果轻微并及时改正的，可以不予行政处罚。</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《野生动物保护法》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第五十三条　违反本法第三十一条第一款、第四款规定，食用或者为食用非法购买本法规定保护的野生动物及其制品的，由县级以上人民政府野生动物保护主管部门和市场监督管理部门按照职责分工责令停止违法行为，没收野生动物及其制品，并处野生动物及其制品价值二倍以上二十倍以下罚款；食用或者为食用非法购买其他陆生野生动物及其制品的，责令停止违法行为，给予批评教育，没收野生动物及其制品，情节严重的，并处野生动物及其制品价值一倍以上五倍以下罚款；构成犯罪的，依法追究刑事责任。</w:t>
            </w:r>
          </w:p>
        </w:tc>
        <w:tc>
          <w:tcPr>
            <w:tcW w:w="56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包容观察、</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说服教育</w:t>
            </w:r>
          </w:p>
        </w:tc>
      </w:tr>
    </w:tbl>
    <w:p>
      <w:pPr>
        <w:spacing w:before="308" w:line="240" w:lineRule="auto"/>
        <w:jc w:val="center"/>
        <w:rPr>
          <w:color w:val="auto"/>
          <w:sz w:val="24"/>
          <w:szCs w:val="24"/>
        </w:rPr>
      </w:pPr>
    </w:p>
    <w:sectPr>
      <w:headerReference r:id="rId3" w:type="default"/>
      <w:footerReference r:id="rId4" w:type="default"/>
      <w:pgSz w:w="16700" w:h="11860"/>
      <w:pgMar w:top="1008" w:right="2015" w:bottom="1071" w:left="1724" w:header="0" w:footer="772"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ESI??-GB2312">
    <w:altName w:val="Times New Roman"/>
    <w:panose1 w:val="00000000000000000000"/>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83" w:lineRule="auto"/>
      <w:ind w:left="124"/>
      <w:rPr>
        <w:rFonts w:ascii="宋体" w:cs="宋体"/>
        <w:sz w:val="31"/>
        <w:szCs w:val="31"/>
      </w:rPr>
    </w:pPr>
    <w:bookmarkStart w:id="0" w:name="_GoBack"/>
    <w:bookmarkEnd w:id="0"/>
    <w:r>
      <w:rPr>
        <w:sz w:val="31"/>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211805"/>
    <w:multiLevelType w:val="singleLevel"/>
    <w:tmpl w:val="FA211805"/>
    <w:lvl w:ilvl="0" w:tentative="0">
      <w:start w:val="1"/>
      <w:numFmt w:val="decimal"/>
      <w:lvlText w:val="%1."/>
      <w:lvlJc w:val="left"/>
      <w:pPr>
        <w:tabs>
          <w:tab w:val="left" w:pos="312"/>
        </w:tabs>
      </w:pPr>
      <w:rPr>
        <w:rFonts w:cs="Times New Roman"/>
      </w:rPr>
    </w:lvl>
  </w:abstractNum>
  <w:abstractNum w:abstractNumId="1">
    <w:nsid w:val="3F389306"/>
    <w:multiLevelType w:val="singleLevel"/>
    <w:tmpl w:val="3F389306"/>
    <w:lvl w:ilvl="0" w:tentative="0">
      <w:start w:val="1"/>
      <w:numFmt w:val="decimal"/>
      <w:lvlText w:val="%1."/>
      <w:lvlJc w:val="left"/>
      <w:pPr>
        <w:tabs>
          <w:tab w:val="left" w:pos="312"/>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characterSpacingControl w:val="doNotCompress"/>
  <w:noLineBreaksAfter w:lang="zh-CN" w:val="$([{£¥·‘“〈《「『【〔〖〝﹙﹛﹝＄（．［｛￡￥"/>
  <w:noLineBreaksBefore w:lang="zh-CN" w:val="!%),.:;&gt;?]}¢¨°·ˇˉ―‖’”…‰′″›℃∶、。〃〉》」』】〕〗〞︶︺︾﹀﹄﹚﹜﹞！＂％＇），．：；？］｀｜｝～￠"/>
  <w:hdrShapeDefaults>
    <o:shapelayout v:ext="edit">
      <o:idmap v:ext="edit" data="3,4"/>
    </o:shapelayout>
  </w:hdrShapeDefaults>
  <w:compat>
    <w:spaceForUL/>
    <w:ulTrailSpac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BkNDQxNzc3MzgyZjkxOWYwOWJkYWQ5NWEyYmI4YTIifQ=="/>
  </w:docVars>
  <w:rsids>
    <w:rsidRoot w:val="007168D3"/>
    <w:rsid w:val="00037D89"/>
    <w:rsid w:val="00043686"/>
    <w:rsid w:val="000E22DE"/>
    <w:rsid w:val="000F3625"/>
    <w:rsid w:val="000F611D"/>
    <w:rsid w:val="001041D7"/>
    <w:rsid w:val="001414E9"/>
    <w:rsid w:val="001A0BD8"/>
    <w:rsid w:val="001F141F"/>
    <w:rsid w:val="002353FA"/>
    <w:rsid w:val="00257600"/>
    <w:rsid w:val="00263C73"/>
    <w:rsid w:val="003101C1"/>
    <w:rsid w:val="00352A4F"/>
    <w:rsid w:val="003A4485"/>
    <w:rsid w:val="003A69FD"/>
    <w:rsid w:val="003E37E2"/>
    <w:rsid w:val="004237B6"/>
    <w:rsid w:val="004610A0"/>
    <w:rsid w:val="004B513A"/>
    <w:rsid w:val="004C388C"/>
    <w:rsid w:val="00504DC9"/>
    <w:rsid w:val="005279CB"/>
    <w:rsid w:val="00570187"/>
    <w:rsid w:val="005B0AC6"/>
    <w:rsid w:val="005C06FD"/>
    <w:rsid w:val="005E429F"/>
    <w:rsid w:val="00621DAC"/>
    <w:rsid w:val="0062751B"/>
    <w:rsid w:val="00636DC1"/>
    <w:rsid w:val="007052C6"/>
    <w:rsid w:val="007168D3"/>
    <w:rsid w:val="0075042C"/>
    <w:rsid w:val="00761B0F"/>
    <w:rsid w:val="00775CB4"/>
    <w:rsid w:val="00787848"/>
    <w:rsid w:val="007C0E12"/>
    <w:rsid w:val="007C5F50"/>
    <w:rsid w:val="007D69B5"/>
    <w:rsid w:val="0081744C"/>
    <w:rsid w:val="00827AC2"/>
    <w:rsid w:val="008805F8"/>
    <w:rsid w:val="008F12F0"/>
    <w:rsid w:val="00907F54"/>
    <w:rsid w:val="00940FA2"/>
    <w:rsid w:val="009631C5"/>
    <w:rsid w:val="00980BB2"/>
    <w:rsid w:val="00983C82"/>
    <w:rsid w:val="009A1DDD"/>
    <w:rsid w:val="00A4600B"/>
    <w:rsid w:val="00A73122"/>
    <w:rsid w:val="00B514E9"/>
    <w:rsid w:val="00BE3ABB"/>
    <w:rsid w:val="00BF04C5"/>
    <w:rsid w:val="00C045F1"/>
    <w:rsid w:val="00C8291F"/>
    <w:rsid w:val="00D26304"/>
    <w:rsid w:val="00D4171D"/>
    <w:rsid w:val="00D85C77"/>
    <w:rsid w:val="00E065C7"/>
    <w:rsid w:val="00E54E28"/>
    <w:rsid w:val="00E63E84"/>
    <w:rsid w:val="00EE02D6"/>
    <w:rsid w:val="00FB2DDF"/>
    <w:rsid w:val="01436361"/>
    <w:rsid w:val="050D59A4"/>
    <w:rsid w:val="05AF5900"/>
    <w:rsid w:val="06CD3D1A"/>
    <w:rsid w:val="07D01B5E"/>
    <w:rsid w:val="0B5E33B7"/>
    <w:rsid w:val="0E7E6C4E"/>
    <w:rsid w:val="0F1B590F"/>
    <w:rsid w:val="113F5780"/>
    <w:rsid w:val="114424C7"/>
    <w:rsid w:val="11B04154"/>
    <w:rsid w:val="11EF6AC9"/>
    <w:rsid w:val="16B20DAC"/>
    <w:rsid w:val="19D81CAB"/>
    <w:rsid w:val="1C5E5F3D"/>
    <w:rsid w:val="205D0B5A"/>
    <w:rsid w:val="218C46AF"/>
    <w:rsid w:val="26547EB1"/>
    <w:rsid w:val="272A217D"/>
    <w:rsid w:val="2C784096"/>
    <w:rsid w:val="2D340315"/>
    <w:rsid w:val="2EBB6DE3"/>
    <w:rsid w:val="332C4897"/>
    <w:rsid w:val="36605082"/>
    <w:rsid w:val="3E387887"/>
    <w:rsid w:val="3E6F60B8"/>
    <w:rsid w:val="42B35F28"/>
    <w:rsid w:val="436F7A7C"/>
    <w:rsid w:val="43D104E5"/>
    <w:rsid w:val="44156FD5"/>
    <w:rsid w:val="49AF3E2C"/>
    <w:rsid w:val="49F70FBF"/>
    <w:rsid w:val="4B6202EC"/>
    <w:rsid w:val="4C064849"/>
    <w:rsid w:val="4C95730F"/>
    <w:rsid w:val="50977B32"/>
    <w:rsid w:val="51594690"/>
    <w:rsid w:val="521219F6"/>
    <w:rsid w:val="5314495C"/>
    <w:rsid w:val="55370ABC"/>
    <w:rsid w:val="5F0279C4"/>
    <w:rsid w:val="654C1999"/>
    <w:rsid w:val="682C436D"/>
    <w:rsid w:val="69BC6E43"/>
    <w:rsid w:val="6B7632CC"/>
    <w:rsid w:val="6C7F7F0C"/>
    <w:rsid w:val="6D7B106D"/>
    <w:rsid w:val="70231AF1"/>
    <w:rsid w:val="79030169"/>
    <w:rsid w:val="7D584B0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宋体" w:cs="Arial"/>
      <w:color w:val="000000"/>
      <w:kern w:val="0"/>
      <w:sz w:val="21"/>
      <w:szCs w:val="21"/>
      <w:lang w:val="en-US" w:eastAsia="zh-CN" w:bidi="ar-SA"/>
    </w:rPr>
  </w:style>
  <w:style w:type="paragraph" w:styleId="4">
    <w:name w:val="heading 1"/>
    <w:basedOn w:val="1"/>
    <w:next w:val="1"/>
    <w:link w:val="11"/>
    <w:qFormat/>
    <w:locked/>
    <w:uiPriority w:val="99"/>
    <w:pPr>
      <w:keepNext/>
      <w:keepLines/>
      <w:suppressAutoHyphens/>
      <w:spacing w:line="576" w:lineRule="auto"/>
      <w:outlineLvl w:val="0"/>
    </w:pPr>
    <w:rPr>
      <w:rFonts w:ascii="Calibri" w:hAnsi="Calibri"/>
      <w:b/>
      <w:kern w:val="44"/>
      <w:sz w:val="44"/>
      <w:szCs w:val="44"/>
    </w:rPr>
  </w:style>
  <w:style w:type="character" w:default="1" w:styleId="10">
    <w:name w:val="Default Paragraph Font"/>
    <w:semiHidden/>
    <w:qFormat/>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2"/>
    <w:qFormat/>
    <w:uiPriority w:val="99"/>
    <w:pPr>
      <w:spacing w:after="120"/>
    </w:pPr>
  </w:style>
  <w:style w:type="paragraph" w:styleId="3">
    <w:name w:val="Body Text Indent"/>
    <w:basedOn w:val="1"/>
    <w:next w:val="1"/>
    <w:link w:val="13"/>
    <w:qFormat/>
    <w:uiPriority w:val="99"/>
    <w:pPr>
      <w:ind w:firstLine="570"/>
    </w:pPr>
  </w:style>
  <w:style w:type="paragraph" w:styleId="5">
    <w:name w:val="footer"/>
    <w:basedOn w:val="1"/>
    <w:semiHidden/>
    <w:unhideWhenUsed/>
    <w:uiPriority w:val="99"/>
    <w:pPr>
      <w:tabs>
        <w:tab w:val="center" w:pos="4153"/>
        <w:tab w:val="right" w:pos="8306"/>
      </w:tabs>
      <w:snapToGrid w:val="0"/>
      <w:jc w:val="left"/>
    </w:pPr>
    <w:rPr>
      <w:sz w:val="18"/>
    </w:rPr>
  </w:style>
  <w:style w:type="paragraph" w:styleId="6">
    <w:name w:val="header"/>
    <w:basedOn w:val="1"/>
    <w:link w:val="14"/>
    <w:qFormat/>
    <w:uiPriority w:val="99"/>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customStyle="1" w:styleId="11">
    <w:name w:val="Heading 1 Char"/>
    <w:basedOn w:val="10"/>
    <w:link w:val="4"/>
    <w:qFormat/>
    <w:locked/>
    <w:uiPriority w:val="99"/>
    <w:rPr>
      <w:rFonts w:cs="Times New Roman"/>
      <w:b/>
      <w:bCs/>
      <w:color w:val="000000"/>
      <w:kern w:val="44"/>
      <w:sz w:val="44"/>
      <w:szCs w:val="44"/>
    </w:rPr>
  </w:style>
  <w:style w:type="character" w:customStyle="1" w:styleId="12">
    <w:name w:val="Body Text Char"/>
    <w:basedOn w:val="10"/>
    <w:link w:val="2"/>
    <w:semiHidden/>
    <w:qFormat/>
    <w:locked/>
    <w:uiPriority w:val="99"/>
    <w:rPr>
      <w:rFonts w:cs="Times New Roman"/>
      <w:color w:val="000000"/>
      <w:kern w:val="0"/>
      <w:sz w:val="21"/>
      <w:szCs w:val="21"/>
    </w:rPr>
  </w:style>
  <w:style w:type="character" w:customStyle="1" w:styleId="13">
    <w:name w:val="Body Text Indent Char"/>
    <w:basedOn w:val="10"/>
    <w:link w:val="3"/>
    <w:semiHidden/>
    <w:qFormat/>
    <w:locked/>
    <w:uiPriority w:val="99"/>
    <w:rPr>
      <w:rFonts w:cs="Times New Roman"/>
      <w:color w:val="000000"/>
      <w:kern w:val="0"/>
      <w:sz w:val="21"/>
      <w:szCs w:val="21"/>
    </w:rPr>
  </w:style>
  <w:style w:type="character" w:customStyle="1" w:styleId="14">
    <w:name w:val="Header Char"/>
    <w:basedOn w:val="10"/>
    <w:link w:val="6"/>
    <w:semiHidden/>
    <w:qFormat/>
    <w:locked/>
    <w:uiPriority w:val="99"/>
    <w:rPr>
      <w:rFonts w:cs="Times New Roman"/>
      <w:color w:val="000000"/>
      <w:kern w:val="0"/>
      <w:sz w:val="18"/>
      <w:szCs w:val="18"/>
    </w:rPr>
  </w:style>
  <w:style w:type="table" w:customStyle="1" w:styleId="15">
    <w:name w:val="Table Normal1"/>
    <w:semiHidden/>
    <w:qFormat/>
    <w:uiPriority w:val="99"/>
    <w:rPr>
      <w:kern w:val="0"/>
      <w:sz w:val="20"/>
      <w:szCs w:val="20"/>
    </w:rPr>
    <w:tblPr>
      <w:tblCellMar>
        <w:top w:w="0" w:type="dxa"/>
        <w:left w:w="0" w:type="dxa"/>
        <w:bottom w:w="0" w:type="dxa"/>
        <w:right w:w="0" w:type="dxa"/>
      </w:tblCellMar>
    </w:tblPr>
  </w:style>
  <w:style w:type="character" w:customStyle="1" w:styleId="16">
    <w:name w:val="font21"/>
    <w:basedOn w:val="10"/>
    <w:qFormat/>
    <w:uiPriority w:val="99"/>
    <w:rPr>
      <w:rFonts w:ascii="CESI??-GB2312" w:hAnsi="CESI??-GB2312" w:cs="CESI??-GB2312"/>
      <w:b/>
      <w:bCs/>
      <w:color w:val="000000"/>
      <w:sz w:val="24"/>
      <w:szCs w:val="24"/>
      <w:u w:val="none"/>
    </w:rPr>
  </w:style>
  <w:style w:type="character" w:customStyle="1" w:styleId="17">
    <w:name w:val="font31"/>
    <w:basedOn w:val="10"/>
    <w:qFormat/>
    <w:uiPriority w:val="99"/>
    <w:rPr>
      <w:rFonts w:ascii="CESI??-GB2312" w:hAnsi="CESI??-GB2312" w:cs="CESI??-GB2312"/>
      <w:color w:val="000000"/>
      <w:sz w:val="24"/>
      <w:szCs w:val="24"/>
      <w:u w:val="none"/>
    </w:rPr>
  </w:style>
  <w:style w:type="character" w:customStyle="1" w:styleId="18">
    <w:name w:val="font01"/>
    <w:basedOn w:val="10"/>
    <w:qFormat/>
    <w:uiPriority w:val="0"/>
    <w:rPr>
      <w:rFonts w:hint="eastAsia" w:ascii="宋体" w:hAnsi="宋体" w:eastAsia="宋体" w:cs="宋体"/>
      <w:color w:val="000000"/>
      <w:sz w:val="24"/>
      <w:szCs w:val="24"/>
      <w:u w:val="none"/>
    </w:rPr>
  </w:style>
  <w:style w:type="character" w:customStyle="1" w:styleId="19">
    <w:name w:val="font11"/>
    <w:basedOn w:val="10"/>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103</Pages>
  <Words>73335</Words>
  <Characters>74187</Characters>
  <Lines>0</Lines>
  <Paragraphs>0</Paragraphs>
  <TotalTime>5</TotalTime>
  <ScaleCrop>false</ScaleCrop>
  <LinksUpToDate>false</LinksUpToDate>
  <CharactersWithSpaces>76261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2023-04-11T14:40:00Z</dcterms:created>
  <dc:creator>Kingsoft-PDF</dc:creator>
  <cp:lastModifiedBy>Administrator</cp:lastModifiedBy>
  <cp:lastPrinted>2023-04-11T07:24:00Z</cp:lastPrinted>
  <dcterms:modified xsi:type="dcterms:W3CDTF">2023-04-24T02:58:06Z</dcterms:modified>
  <dc:subject>pdfbuilder</dc:subject>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UsrData">
    <vt:lpwstr>643500c30d38b70015a5e7eb</vt:lpwstr>
  </property>
  <property fmtid="{D5CDD505-2E9C-101B-9397-08002B2CF9AE}" pid="4" name="KSOProductBuildVer">
    <vt:lpwstr>2052-11.1.0.12598</vt:lpwstr>
  </property>
  <property fmtid="{D5CDD505-2E9C-101B-9397-08002B2CF9AE}" pid="5" name="ICV">
    <vt:lpwstr>405AAE19A9594AB98EAF750A6CE31B07</vt:lpwstr>
  </property>
</Properties>
</file>