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spacing w:before="97" w:line="224" w:lineRule="auto"/>
        <w:ind w:left="119"/>
        <w:rPr>
          <w:rFonts w:ascii="仿宋_GB2312" w:hAnsi="仿宋_GB2312" w:eastAsia="仿宋_GB2312" w:cs="仿宋_GB2312"/>
          <w:sz w:val="32"/>
          <w:szCs w:val="32"/>
        </w:rPr>
      </w:pPr>
      <w:r>
        <w:rPr>
          <w:rFonts w:hint="eastAsia" w:ascii="仿宋_GB2312" w:hAnsi="仿宋_GB2312" w:eastAsia="仿宋_GB2312" w:cs="仿宋_GB2312"/>
          <w:spacing w:val="-16"/>
          <w:sz w:val="32"/>
          <w:szCs w:val="32"/>
        </w:rPr>
        <w:t>附件</w:t>
      </w:r>
      <w:r>
        <w:rPr>
          <w:rFonts w:ascii="仿宋_GB2312" w:hAnsi="仿宋_GB2312" w:eastAsia="仿宋_GB2312" w:cs="仿宋_GB2312"/>
          <w:spacing w:val="-16"/>
          <w:sz w:val="32"/>
          <w:szCs w:val="32"/>
        </w:rPr>
        <w:t>2</w:t>
      </w:r>
    </w:p>
    <w:p>
      <w:pPr>
        <w:widowControl/>
        <w:kinsoku w:val="0"/>
        <w:autoSpaceDE w:val="0"/>
        <w:autoSpaceDN w:val="0"/>
        <w:adjustRightInd w:val="0"/>
        <w:snapToGrid w:val="0"/>
        <w:spacing w:before="278" w:line="440" w:lineRule="exact"/>
        <w:jc w:val="center"/>
        <w:textAlignment w:val="baseline"/>
        <w:rPr>
          <w:rFonts w:ascii="仿宋_GB2312" w:hAnsi="仿宋_GB2312" w:eastAsia="仿宋_GB2312" w:cs="仿宋_GB2312"/>
          <w:b/>
          <w:bCs/>
          <w:spacing w:val="-8"/>
          <w:sz w:val="72"/>
          <w:szCs w:val="72"/>
        </w:rPr>
      </w:pPr>
      <w:r>
        <w:rPr>
          <w:rFonts w:hint="eastAsia" w:ascii="仿宋_GB2312" w:hAnsi="仿宋_GB2312" w:eastAsia="仿宋_GB2312" w:cs="仿宋_GB2312"/>
          <w:b/>
          <w:bCs/>
          <w:spacing w:val="-8"/>
          <w:sz w:val="72"/>
          <w:szCs w:val="72"/>
        </w:rPr>
        <w:t>一般违法行为从轻行政处罚清单</w:t>
      </w:r>
    </w:p>
    <w:p>
      <w:pPr>
        <w:pStyle w:val="2"/>
      </w:pP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6"/>
        <w:gridCol w:w="2398"/>
        <w:gridCol w:w="9"/>
        <w:gridCol w:w="4062"/>
        <w:gridCol w:w="9"/>
        <w:gridCol w:w="5519"/>
        <w:gridCol w:w="9"/>
        <w:gridCol w:w="1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5000" w:type="pct"/>
            <w:gridSpan w:val="9"/>
            <w:vAlign w:val="center"/>
          </w:tcPr>
          <w:p>
            <w:pPr>
              <w:widowControl/>
              <w:autoSpaceDE w:val="0"/>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医疗保障局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ind w:left="294"/>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848" w:type="pct"/>
            <w:gridSpan w:val="2"/>
            <w:vAlign w:val="center"/>
          </w:tcPr>
          <w:p>
            <w:pPr>
              <w:jc w:val="left"/>
              <w:rPr>
                <w:rFonts w:hint="eastAsia" w:ascii="仿宋_GB2312" w:hAnsi="仿宋_GB2312" w:eastAsia="仿宋_GB2312" w:cs="仿宋_GB2312"/>
                <w:sz w:val="24"/>
                <w:szCs w:val="24"/>
              </w:rPr>
            </w:pPr>
            <w:r>
              <w:rPr>
                <w:rFonts w:hint="eastAsia" w:ascii="仿宋_GB2312" w:hAnsi="仿宋_GB2312" w:eastAsia="仿宋_GB2312" w:cs="仿宋_GB2312"/>
                <w:spacing w:val="-2"/>
                <w:sz w:val="24"/>
                <w:szCs w:val="24"/>
              </w:rPr>
              <w:t>用人单位不办理</w:t>
            </w:r>
            <w:r>
              <w:rPr>
                <w:rFonts w:hint="eastAsia" w:ascii="仿宋_GB2312" w:hAnsi="仿宋_GB2312" w:eastAsia="仿宋_GB2312" w:cs="仿宋_GB2312"/>
                <w:spacing w:val="14"/>
                <w:sz w:val="24"/>
                <w:szCs w:val="24"/>
              </w:rPr>
              <w:t>医疗保险登记；</w:t>
            </w:r>
            <w:r>
              <w:rPr>
                <w:rFonts w:hint="eastAsia" w:ascii="仿宋_GB2312" w:hAnsi="仿宋_GB2312" w:eastAsia="仿宋_GB2312" w:cs="仿宋_GB2312"/>
                <w:spacing w:val="1"/>
                <w:sz w:val="24"/>
                <w:szCs w:val="24"/>
              </w:rPr>
              <w:t>未按时足额缴纳</w:t>
            </w:r>
            <w:r>
              <w:rPr>
                <w:rFonts w:hint="eastAsia" w:ascii="仿宋_GB2312" w:hAnsi="仿宋_GB2312" w:eastAsia="仿宋_GB2312" w:cs="仿宋_GB2312"/>
                <w:spacing w:val="2"/>
                <w:sz w:val="24"/>
                <w:szCs w:val="24"/>
              </w:rPr>
              <w:t>医疗保险费</w:t>
            </w:r>
          </w:p>
        </w:tc>
        <w:tc>
          <w:tcPr>
            <w:tcW w:w="1436" w:type="pct"/>
            <w:gridSpan w:val="2"/>
            <w:vAlign w:val="center"/>
          </w:tcPr>
          <w:p>
            <w:pPr>
              <w:ind w:right="148"/>
              <w:jc w:val="left"/>
              <w:rPr>
                <w:rFonts w:hint="eastAsia" w:ascii="仿宋_GB2312" w:hAnsi="仿宋_GB2312" w:eastAsia="仿宋_GB2312" w:cs="仿宋_GB2312"/>
                <w:sz w:val="24"/>
                <w:szCs w:val="24"/>
              </w:rPr>
            </w:pPr>
            <w:r>
              <w:rPr>
                <w:rFonts w:hint="eastAsia" w:ascii="仿宋_GB2312" w:hAnsi="仿宋_GB2312" w:eastAsia="仿宋_GB2312" w:cs="仿宋_GB2312"/>
                <w:spacing w:val="10"/>
                <w:sz w:val="24"/>
                <w:szCs w:val="24"/>
              </w:rPr>
              <w:t>(一)受他人胁迫或者诱骗实施违法</w:t>
            </w:r>
            <w:r>
              <w:rPr>
                <w:rFonts w:hint="eastAsia" w:ascii="仿宋_GB2312" w:hAnsi="仿宋_GB2312" w:eastAsia="仿宋_GB2312" w:cs="仿宋_GB2312"/>
                <w:spacing w:val="23"/>
                <w:sz w:val="24"/>
                <w:szCs w:val="24"/>
              </w:rPr>
              <w:t>行为的；</w:t>
            </w:r>
            <w:r>
              <w:rPr>
                <w:rFonts w:hint="eastAsia" w:ascii="仿宋_GB2312" w:hAnsi="仿宋_GB2312" w:eastAsia="仿宋_GB2312" w:cs="仿宋_GB2312"/>
                <w:spacing w:val="10"/>
                <w:sz w:val="24"/>
                <w:szCs w:val="24"/>
              </w:rPr>
              <w:t>(二)主动供述行政机关尚未掌握的</w:t>
            </w:r>
            <w:r>
              <w:rPr>
                <w:rFonts w:hint="eastAsia" w:ascii="仿宋_GB2312" w:hAnsi="仿宋_GB2312" w:eastAsia="仿宋_GB2312" w:cs="仿宋_GB2312"/>
                <w:spacing w:val="8"/>
                <w:sz w:val="24"/>
                <w:szCs w:val="24"/>
              </w:rPr>
              <w:t>基金使用违法行为的关键线索或证</w:t>
            </w:r>
            <w:r>
              <w:rPr>
                <w:rFonts w:hint="eastAsia" w:ascii="仿宋_GB2312" w:hAnsi="仿宋_GB2312" w:eastAsia="仿宋_GB2312" w:cs="仿宋_GB2312"/>
                <w:spacing w:val="9"/>
                <w:sz w:val="24"/>
                <w:szCs w:val="24"/>
              </w:rPr>
              <w:t>据，并经查证属实的；</w:t>
            </w:r>
            <w:r>
              <w:rPr>
                <w:rFonts w:hint="eastAsia" w:ascii="仿宋_GB2312" w:hAnsi="仿宋_GB2312" w:eastAsia="仿宋_GB2312" w:cs="仿宋_GB2312"/>
                <w:spacing w:val="10"/>
                <w:sz w:val="24"/>
                <w:szCs w:val="24"/>
              </w:rPr>
              <w:t>(三)积极配合行政机关查处违法行</w:t>
            </w:r>
            <w:r>
              <w:rPr>
                <w:rFonts w:hint="eastAsia" w:ascii="仿宋_GB2312" w:hAnsi="仿宋_GB2312" w:eastAsia="仿宋_GB2312" w:cs="仿宋_GB2312"/>
                <w:spacing w:val="-1"/>
                <w:sz w:val="24"/>
                <w:szCs w:val="24"/>
              </w:rPr>
              <w:t>为、如实陈述违法事实并主动提供证</w:t>
            </w:r>
            <w:r>
              <w:rPr>
                <w:rFonts w:hint="eastAsia" w:ascii="仿宋_GB2312" w:hAnsi="仿宋_GB2312" w:eastAsia="仿宋_GB2312" w:cs="仿宋_GB2312"/>
                <w:spacing w:val="19"/>
                <w:sz w:val="24"/>
                <w:szCs w:val="24"/>
              </w:rPr>
              <w:t>据材料的；</w:t>
            </w:r>
            <w:r>
              <w:rPr>
                <w:rFonts w:hint="eastAsia" w:ascii="仿宋_GB2312" w:hAnsi="仿宋_GB2312" w:eastAsia="仿宋_GB2312" w:cs="仿宋_GB2312"/>
                <w:spacing w:val="8"/>
                <w:sz w:val="24"/>
                <w:szCs w:val="24"/>
              </w:rPr>
              <w:t>(四)主动投案向行政机关如实交代</w:t>
            </w:r>
            <w:r>
              <w:rPr>
                <w:rFonts w:hint="eastAsia" w:ascii="仿宋_GB2312" w:hAnsi="仿宋_GB2312" w:eastAsia="仿宋_GB2312" w:cs="仿宋_GB2312"/>
                <w:spacing w:val="16"/>
                <w:sz w:val="24"/>
                <w:szCs w:val="24"/>
              </w:rPr>
              <w:t>违法行为的；</w:t>
            </w:r>
            <w:r>
              <w:rPr>
                <w:rFonts w:hint="eastAsia" w:ascii="仿宋_GB2312" w:hAnsi="仿宋_GB2312" w:eastAsia="仿宋_GB2312" w:cs="仿宋_GB2312"/>
                <w:spacing w:val="7"/>
                <w:sz w:val="24"/>
                <w:szCs w:val="24"/>
              </w:rPr>
              <w:t>(五)法律、法规、规章规定应当从</w:t>
            </w:r>
            <w:r>
              <w:rPr>
                <w:rFonts w:hint="eastAsia" w:ascii="仿宋_GB2312" w:hAnsi="仿宋_GB2312" w:eastAsia="仿宋_GB2312" w:cs="仿宋_GB2312"/>
                <w:spacing w:val="8"/>
                <w:sz w:val="24"/>
                <w:szCs w:val="24"/>
              </w:rPr>
              <w:t>轻或减轻处罚的其他情形。</w:t>
            </w:r>
          </w:p>
        </w:tc>
        <w:tc>
          <w:tcPr>
            <w:tcW w:w="1950" w:type="pct"/>
            <w:gridSpan w:val="2"/>
            <w:vAlign w:val="center"/>
          </w:tcPr>
          <w:p>
            <w:pPr>
              <w:ind w:left="124" w:right="97" w:hanging="90"/>
              <w:rPr>
                <w:rFonts w:hint="eastAsia" w:ascii="仿宋_GB2312" w:hAnsi="仿宋_GB2312" w:eastAsia="仿宋_GB2312" w:cs="仿宋_GB2312"/>
                <w:spacing w:val="16"/>
                <w:sz w:val="24"/>
                <w:szCs w:val="24"/>
              </w:rPr>
            </w:pPr>
            <w:r>
              <w:rPr>
                <w:rFonts w:hint="eastAsia" w:ascii="仿宋_GB2312" w:hAnsi="仿宋_GB2312" w:eastAsia="仿宋_GB2312" w:cs="仿宋_GB2312"/>
                <w:b/>
                <w:spacing w:val="16"/>
                <w:sz w:val="24"/>
                <w:szCs w:val="24"/>
              </w:rPr>
              <w:t>【法律】</w:t>
            </w:r>
            <w:r>
              <w:rPr>
                <w:rFonts w:hint="eastAsia" w:ascii="仿宋_GB2312" w:hAnsi="仿宋_GB2312" w:eastAsia="仿宋_GB2312" w:cs="仿宋_GB2312"/>
                <w:spacing w:val="16"/>
                <w:sz w:val="24"/>
                <w:szCs w:val="24"/>
              </w:rPr>
              <w:t>《中华人民共和国社会保险法》第五十八条：用人单位应当自用工之日起三十日内为其职工向社会保险经办机构申请办理社会保险登记。未办理社会保险登记的，由社会保险经办机构核定其应当缴纳的社会保险费。第八十四条：用人单位不办理社会保险登记的，由社会保险行政部门责令限期改正；逾期不改正的，对用人单位处应缴社会保险费数额一倍以上三倍以下的罚款，对其直接负责的主管人员和其他直接责任人员处五百元以上三千以下的罚款。</w:t>
            </w:r>
          </w:p>
          <w:p>
            <w:pPr>
              <w:ind w:left="124" w:right="97" w:hanging="90"/>
              <w:rPr>
                <w:rFonts w:hint="eastAsia" w:ascii="仿宋_GB2312" w:hAnsi="仿宋_GB2312" w:eastAsia="仿宋_GB2312" w:cs="仿宋_GB2312"/>
                <w:sz w:val="24"/>
                <w:szCs w:val="24"/>
              </w:rPr>
            </w:pPr>
            <w:r>
              <w:rPr>
                <w:rFonts w:hint="eastAsia" w:ascii="仿宋_GB2312" w:hAnsi="仿宋_GB2312" w:eastAsia="仿宋_GB2312" w:cs="仿宋_GB2312"/>
                <w:b/>
                <w:spacing w:val="16"/>
                <w:sz w:val="24"/>
                <w:szCs w:val="24"/>
              </w:rPr>
              <w:t>【行政法规】</w:t>
            </w:r>
            <w:r>
              <w:rPr>
                <w:rFonts w:hint="eastAsia" w:ascii="仿宋_GB2312" w:hAnsi="仿宋_GB2312" w:eastAsia="仿宋_GB2312" w:cs="仿宋_GB2312"/>
                <w:spacing w:val="16"/>
                <w:sz w:val="24"/>
                <w:szCs w:val="24"/>
              </w:rPr>
              <w:t>国家医疗保障局《规范医疗保障基金使用监督管理行政处罚裁量权办法》第十四条：有下列情形之一的，医疗保障行政部门应当从轻或减轻处罚：(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七)法律、法规、规章规定应当从轻或减轻处罚的其他情形。内蒙古自治区医疗保障局《规范内蒙古自治区医疗保障基金监督管理领域行政处罚裁量权实施办法(暂行)》第十一条：(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七)法律、法规、规章规定应当从轻或减轻处罚的其他情形。</w:t>
            </w:r>
          </w:p>
        </w:tc>
        <w:tc>
          <w:tcPr>
            <w:tcW w:w="506" w:type="pct"/>
            <w:gridSpan w:val="2"/>
            <w:vAlign w:val="center"/>
          </w:tcPr>
          <w:p>
            <w:pPr>
              <w:ind w:left="81" w:right="97" w:rightChars="46" w:firstLine="18"/>
              <w:rPr>
                <w:rFonts w:hint="eastAsia" w:ascii="仿宋_GB2312" w:hAnsi="仿宋_GB2312" w:eastAsia="仿宋_GB2312" w:cs="仿宋_GB2312"/>
                <w:spacing w:val="16"/>
                <w:sz w:val="24"/>
                <w:szCs w:val="24"/>
              </w:rPr>
            </w:pPr>
            <w:r>
              <w:rPr>
                <w:rFonts w:hint="eastAsia" w:ascii="仿宋_GB2312" w:hAnsi="仿宋_GB2312" w:eastAsia="仿宋_GB2312" w:cs="仿宋_GB2312"/>
                <w:spacing w:val="16"/>
                <w:sz w:val="24"/>
                <w:szCs w:val="24"/>
              </w:rPr>
              <w:t>谈话、提醒、说服教育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259" w:type="pct"/>
            <w:vAlign w:val="center"/>
          </w:tcPr>
          <w:p>
            <w:pPr>
              <w:ind w:left="325"/>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848" w:type="pct"/>
            <w:gridSpan w:val="2"/>
            <w:vAlign w:val="center"/>
          </w:tcPr>
          <w:p>
            <w:pPr>
              <w:ind w:left="124" w:right="97" w:hanging="90"/>
              <w:jc w:val="left"/>
              <w:rPr>
                <w:rFonts w:hint="eastAsia" w:ascii="仿宋_GB2312" w:hAnsi="仿宋_GB2312" w:eastAsia="仿宋_GB2312" w:cs="仿宋_GB2312"/>
                <w:spacing w:val="16"/>
                <w:sz w:val="24"/>
                <w:szCs w:val="24"/>
              </w:rPr>
            </w:pPr>
            <w:r>
              <w:rPr>
                <w:rFonts w:hint="eastAsia" w:ascii="仿宋_GB2312" w:hAnsi="仿宋_GB2312" w:eastAsia="仿宋_GB2312" w:cs="仿宋_GB2312"/>
                <w:spacing w:val="16"/>
                <w:sz w:val="24"/>
                <w:szCs w:val="24"/>
              </w:rPr>
              <w:t>对定点医药机构违反管理规定拒绝监督检查或提供虚假情况</w:t>
            </w:r>
          </w:p>
        </w:tc>
        <w:tc>
          <w:tcPr>
            <w:tcW w:w="1436" w:type="pct"/>
            <w:gridSpan w:val="2"/>
            <w:vAlign w:val="center"/>
          </w:tcPr>
          <w:p>
            <w:pPr>
              <w:ind w:left="124" w:right="97" w:hanging="90"/>
              <w:jc w:val="left"/>
              <w:rPr>
                <w:rFonts w:hint="eastAsia" w:ascii="仿宋_GB2312" w:hAnsi="仿宋_GB2312" w:eastAsia="仿宋_GB2312" w:cs="仿宋_GB2312"/>
                <w:spacing w:val="16"/>
                <w:sz w:val="24"/>
                <w:szCs w:val="24"/>
              </w:rPr>
            </w:pPr>
            <w:r>
              <w:rPr>
                <w:rFonts w:hint="eastAsia" w:ascii="仿宋_GB2312" w:hAnsi="仿宋_GB2312" w:eastAsia="仿宋_GB2312" w:cs="仿宋_GB2312"/>
                <w:spacing w:val="16"/>
                <w:sz w:val="24"/>
                <w:szCs w:val="24"/>
              </w:rPr>
              <w:t>(一)已满十四周岁不满十八周岁的未成年人实施违法行为的；(二)主动消除或减轻基金使用违法行为危害后果的；(三)受他人胁迫或者诱骗实施违法行为的；(四)主动供述行政机关沿未掌握的基金使用违法行为的关键线索或证据，并经查证属实的；(五)积极配合行政机关查处违法行为、如实陈述违法事实并主动提供证据材料的；(六)主动投案向行政机关如实交代违法行为的；</w:t>
            </w:r>
            <w:r>
              <w:rPr>
                <w:rFonts w:hint="eastAsia" w:ascii="仿宋_GB2312" w:hAnsi="仿宋_GB2312" w:eastAsia="仿宋_GB2312" w:cs="仿宋_GB2312"/>
                <w:sz w:val="24"/>
                <w:szCs w:val="24"/>
              </w:rPr>
              <w:t>(七)法律、法规、规章规定应当从</w:t>
            </w:r>
            <w:r>
              <w:rPr>
                <w:rFonts w:hint="eastAsia" w:ascii="仿宋_GB2312" w:hAnsi="仿宋_GB2312" w:eastAsia="仿宋_GB2312" w:cs="仿宋_GB2312"/>
                <w:spacing w:val="8"/>
                <w:sz w:val="24"/>
                <w:szCs w:val="24"/>
              </w:rPr>
              <w:t>轻或减轻处罚的其他情形。</w:t>
            </w:r>
          </w:p>
        </w:tc>
        <w:tc>
          <w:tcPr>
            <w:tcW w:w="1950" w:type="pct"/>
            <w:gridSpan w:val="2"/>
            <w:vAlign w:val="center"/>
          </w:tcPr>
          <w:p>
            <w:pPr>
              <w:ind w:left="135" w:right="91"/>
              <w:jc w:val="left"/>
              <w:rPr>
                <w:rFonts w:hint="eastAsia" w:ascii="仿宋_GB2312" w:hAnsi="仿宋_GB2312" w:eastAsia="仿宋_GB2312" w:cs="仿宋_GB2312"/>
                <w:sz w:val="24"/>
                <w:szCs w:val="24"/>
              </w:rPr>
            </w:pPr>
            <w:r>
              <w:rPr>
                <w:rFonts w:hint="eastAsia" w:ascii="仿宋_GB2312" w:hAnsi="仿宋_GB2312" w:eastAsia="仿宋_GB2312" w:cs="仿宋_GB2312"/>
                <w:b/>
                <w:spacing w:val="16"/>
                <w:sz w:val="24"/>
                <w:szCs w:val="24"/>
              </w:rPr>
              <w:t>【行政法规】</w:t>
            </w:r>
            <w:r>
              <w:rPr>
                <w:rFonts w:hint="eastAsia" w:ascii="仿宋_GB2312" w:hAnsi="仿宋_GB2312" w:eastAsia="仿宋_GB2312" w:cs="仿宋_GB2312"/>
                <w:spacing w:val="16"/>
                <w:sz w:val="24"/>
                <w:szCs w:val="24"/>
              </w:rPr>
              <w:t>《医疗保障基金使用监督管理条例》第三十九条：定点医药机构有下列情形之一的，由医疗保障行政部门责令改正，并可以约谈有关负责人；拒不改正的，处1万元以上5万元以下的罚款；违反其他法律、行政法规的，由有关主管部门依法处理：(一)未建立医疗保障基金使用内部管理制度，或者没有专门机构或者人员负责医疗保障基金使用管理工作；(二)未按照规定保管财务账目、会计凭证、处方、病历、治疗检查记录、费用明细、药品和医用耗材出入库记录等资料；(三)未按照规定通过医疗保障信息系统传送医疗保障基金使用有关数据；(四)未按照规定向医疗保障行政部门报告医疗保障基金使用监督管理所需信息(五)未按照规定向社会公开医药费用、费用结构等信息；(六)除急诊、抢救等特殊情形外，未经参保人员或者其近亲属、监护人同意提供医疗保</w:t>
            </w:r>
            <w:r>
              <w:rPr>
                <w:rFonts w:hint="eastAsia" w:ascii="仿宋_GB2312" w:hAnsi="仿宋_GB2312" w:eastAsia="仿宋_GB2312" w:cs="仿宋_GB2312"/>
                <w:spacing w:val="13"/>
                <w:sz w:val="24"/>
                <w:szCs w:val="24"/>
              </w:rPr>
              <w:t>障基金支付范围以外的医药服务；(七)拒绝医疗保障等</w:t>
            </w:r>
            <w:r>
              <w:rPr>
                <w:rFonts w:hint="eastAsia" w:ascii="仿宋_GB2312" w:hAnsi="仿宋_GB2312" w:eastAsia="仿宋_GB2312" w:cs="仿宋_GB2312"/>
                <w:spacing w:val="5"/>
                <w:sz w:val="24"/>
                <w:szCs w:val="24"/>
              </w:rPr>
              <w:t>行政部门监督检查或者提供虚假情况。</w:t>
            </w:r>
          </w:p>
          <w:p>
            <w:pPr>
              <w:ind w:left="125" w:right="89" w:firstLine="9"/>
              <w:jc w:val="left"/>
              <w:rPr>
                <w:rFonts w:hint="eastAsia" w:ascii="仿宋_GB2312" w:hAnsi="仿宋_GB2312" w:eastAsia="仿宋_GB2312" w:cs="仿宋_GB2312"/>
                <w:spacing w:val="7"/>
                <w:sz w:val="24"/>
                <w:szCs w:val="24"/>
              </w:rPr>
            </w:pPr>
            <w:r>
              <w:rPr>
                <w:rFonts w:hint="eastAsia" w:ascii="仿宋_GB2312" w:hAnsi="仿宋_GB2312" w:eastAsia="仿宋_GB2312" w:cs="仿宋_GB2312"/>
                <w:spacing w:val="5"/>
                <w:sz w:val="24"/>
                <w:szCs w:val="24"/>
              </w:rPr>
              <w:t>国家医疗保障局《规范医疗保障基金使用监督管理行政处罚裁量权办法》第十四条：有下列情形之一的，医疗保障</w:t>
            </w:r>
            <w:r>
              <w:rPr>
                <w:rFonts w:hint="eastAsia" w:ascii="仿宋_GB2312" w:hAnsi="仿宋_GB2312" w:eastAsia="仿宋_GB2312" w:cs="仿宋_GB2312"/>
                <w:spacing w:val="13"/>
                <w:sz w:val="24"/>
                <w:szCs w:val="24"/>
              </w:rPr>
              <w:t>行政部门应当从轻或减轻处罚：(一)已满十四周岁不满十八周岁的未成年人实施违法行为的；(二)主动消除或减轻基金使用违法行为危害后果的；(三)受他人胁迫或者诱骗实施违法行为的；(四)主动供述行政机关尚未掌</w:t>
            </w:r>
            <w:r>
              <w:rPr>
                <w:rFonts w:hint="eastAsia" w:ascii="仿宋_GB2312" w:hAnsi="仿宋_GB2312" w:eastAsia="仿宋_GB2312" w:cs="仿宋_GB2312"/>
                <w:spacing w:val="5"/>
                <w:sz w:val="24"/>
                <w:szCs w:val="24"/>
              </w:rPr>
              <w:t>握的基金使用违法行为的关键线索或证据，并经查证属实</w:t>
            </w:r>
            <w:r>
              <w:rPr>
                <w:rFonts w:hint="eastAsia" w:ascii="仿宋_GB2312" w:hAnsi="仿宋_GB2312" w:eastAsia="仿宋_GB2312" w:cs="仿宋_GB2312"/>
                <w:spacing w:val="13"/>
                <w:sz w:val="24"/>
                <w:szCs w:val="24"/>
              </w:rPr>
              <w:t>的；(五)积极配合行政机关查处违法行为、如实陈述违法事实并主动提供证据材料的；(六)主动投案向行政机关如实交代违法行为的；(七)法律、法规、规章规定应</w:t>
            </w:r>
            <w:r>
              <w:rPr>
                <w:rFonts w:hint="eastAsia" w:ascii="仿宋_GB2312" w:hAnsi="仿宋_GB2312" w:eastAsia="仿宋_GB2312" w:cs="仿宋_GB2312"/>
                <w:spacing w:val="7"/>
                <w:sz w:val="24"/>
                <w:szCs w:val="24"/>
              </w:rPr>
              <w:t>当从轻或减轻处罚的其他情形。</w:t>
            </w:r>
          </w:p>
          <w:p>
            <w:pPr>
              <w:ind w:right="97"/>
              <w:jc w:val="left"/>
              <w:rPr>
                <w:rFonts w:hint="eastAsia" w:ascii="仿宋_GB2312" w:hAnsi="仿宋_GB2312" w:eastAsia="仿宋_GB2312" w:cs="仿宋_GB2312"/>
                <w:spacing w:val="16"/>
                <w:sz w:val="24"/>
                <w:szCs w:val="24"/>
              </w:rPr>
            </w:pPr>
            <w:r>
              <w:rPr>
                <w:rFonts w:hint="eastAsia" w:ascii="仿宋_GB2312" w:hAnsi="仿宋_GB2312" w:eastAsia="仿宋_GB2312" w:cs="仿宋_GB2312"/>
                <w:spacing w:val="5"/>
                <w:sz w:val="24"/>
                <w:szCs w:val="24"/>
              </w:rPr>
              <w:t>内蒙古自治区医疗保障局《规范内蒙古自治区医疗保障基</w:t>
            </w:r>
            <w:r>
              <w:rPr>
                <w:rFonts w:hint="eastAsia" w:ascii="仿宋_GB2312" w:hAnsi="仿宋_GB2312" w:eastAsia="仿宋_GB2312" w:cs="仿宋_GB2312"/>
                <w:spacing w:val="13"/>
                <w:sz w:val="24"/>
                <w:szCs w:val="24"/>
              </w:rPr>
              <w:t>金监督管理领域行政处罚裁量权实施办法(暂行)》第十一条：(一)已满十四周岁不满十八周岁的未成年人实施违法行为的；(二)主动消除或减轻基金使用违法行为危</w:t>
            </w:r>
            <w:r>
              <w:rPr>
                <w:rFonts w:hint="eastAsia" w:ascii="仿宋_GB2312" w:hAnsi="仿宋_GB2312" w:eastAsia="仿宋_GB2312" w:cs="仿宋_GB2312"/>
                <w:spacing w:val="-2"/>
                <w:sz w:val="24"/>
                <w:szCs w:val="24"/>
              </w:rPr>
              <w:t>害后果的；(三)受他人胁迫或者诱骗实施违法行为的；</w:t>
            </w:r>
            <w:r>
              <w:rPr>
                <w:rFonts w:hint="eastAsia" w:ascii="仿宋_GB2312" w:hAnsi="仿宋_GB2312" w:eastAsia="仿宋_GB2312" w:cs="仿宋_GB2312"/>
                <w:spacing w:val="14"/>
                <w:sz w:val="24"/>
                <w:szCs w:val="24"/>
              </w:rPr>
              <w:t>(四)主动供述行政机关尚未掌握的基金使用违法行为的</w:t>
            </w:r>
            <w:r>
              <w:rPr>
                <w:rFonts w:hint="eastAsia" w:ascii="仿宋_GB2312" w:hAnsi="仿宋_GB2312" w:eastAsia="仿宋_GB2312" w:cs="仿宋_GB2312"/>
                <w:spacing w:val="13"/>
                <w:sz w:val="24"/>
                <w:szCs w:val="24"/>
              </w:rPr>
              <w:t>关键线索或证据，并经查证属实的；(五)积极配合行政</w:t>
            </w:r>
            <w:r>
              <w:rPr>
                <w:rFonts w:hint="eastAsia" w:ascii="仿宋_GB2312" w:hAnsi="仿宋_GB2312" w:eastAsia="仿宋_GB2312" w:cs="仿宋_GB2312"/>
                <w:spacing w:val="6"/>
                <w:sz w:val="24"/>
                <w:szCs w:val="24"/>
              </w:rPr>
              <w:t>机关查处违法行为、如实陈述违法事实并主动提供证据材</w:t>
            </w:r>
            <w:r>
              <w:rPr>
                <w:rFonts w:hint="eastAsia" w:ascii="仿宋_GB2312" w:hAnsi="仿宋_GB2312" w:eastAsia="仿宋_GB2312" w:cs="仿宋_GB2312"/>
                <w:spacing w:val="15"/>
                <w:sz w:val="24"/>
                <w:szCs w:val="24"/>
              </w:rPr>
              <w:t>料的；(六)主动投案向行政机关如实交代违法行为的；</w:t>
            </w:r>
            <w:r>
              <w:rPr>
                <w:rFonts w:hint="eastAsia" w:ascii="仿宋_GB2312" w:hAnsi="仿宋_GB2312" w:eastAsia="仿宋_GB2312" w:cs="仿宋_GB2312"/>
                <w:spacing w:val="14"/>
                <w:sz w:val="24"/>
                <w:szCs w:val="24"/>
              </w:rPr>
              <w:t>(七)法律、法规、规章规定应当从轻或减轻处罚的</w:t>
            </w:r>
            <w:r>
              <w:rPr>
                <w:rFonts w:hint="eastAsia" w:ascii="仿宋_GB2312" w:hAnsi="仿宋_GB2312" w:eastAsia="仿宋_GB2312" w:cs="仿宋_GB2312"/>
                <w:spacing w:val="13"/>
                <w:sz w:val="24"/>
                <w:szCs w:val="24"/>
              </w:rPr>
              <w:t>其他</w:t>
            </w:r>
            <w:r>
              <w:rPr>
                <w:rFonts w:hint="eastAsia" w:ascii="仿宋_GB2312" w:hAnsi="仿宋_GB2312" w:eastAsia="仿宋_GB2312" w:cs="仿宋_GB2312"/>
                <w:spacing w:val="-3"/>
                <w:sz w:val="24"/>
                <w:szCs w:val="24"/>
              </w:rPr>
              <w:t>情形。</w:t>
            </w:r>
          </w:p>
        </w:tc>
        <w:tc>
          <w:tcPr>
            <w:tcW w:w="506" w:type="pct"/>
            <w:gridSpan w:val="2"/>
            <w:vAlign w:val="center"/>
          </w:tcPr>
          <w:p>
            <w:pPr>
              <w:ind w:right="97" w:firstLine="34"/>
              <w:jc w:val="left"/>
              <w:rPr>
                <w:rFonts w:hint="eastAsia" w:ascii="仿宋_GB2312" w:hAnsi="仿宋_GB2312" w:eastAsia="仿宋_GB2312" w:cs="仿宋_GB2312"/>
                <w:spacing w:val="16"/>
                <w:sz w:val="24"/>
                <w:szCs w:val="24"/>
              </w:rPr>
            </w:pPr>
            <w:r>
              <w:rPr>
                <w:rFonts w:hint="eastAsia" w:ascii="仿宋_GB2312" w:hAnsi="仿宋_GB2312" w:eastAsia="仿宋_GB2312" w:cs="仿宋_GB2312"/>
                <w:spacing w:val="16"/>
                <w:sz w:val="24"/>
                <w:szCs w:val="24"/>
              </w:rPr>
              <w:t>谈话、提醒、说服教育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left"/>
              <w:rPr>
                <w:rFonts w:hint="eastAsia" w:ascii="仿宋_GB2312" w:hAnsi="仿宋_GB2312" w:eastAsia="仿宋_GB2312" w:cs="仿宋_GB2312"/>
                <w:sz w:val="24"/>
                <w:szCs w:val="24"/>
              </w:rPr>
            </w:pPr>
          </w:p>
          <w:p>
            <w:pPr>
              <w:ind w:left="334"/>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848" w:type="pct"/>
            <w:gridSpan w:val="2"/>
            <w:vAlign w:val="center"/>
          </w:tcPr>
          <w:p>
            <w:pPr>
              <w:ind w:left="125" w:right="89" w:firstLine="9"/>
              <w:jc w:val="left"/>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对定点医药机构基金使用一般违法行为</w:t>
            </w:r>
          </w:p>
        </w:tc>
        <w:tc>
          <w:tcPr>
            <w:tcW w:w="1436" w:type="pct"/>
            <w:gridSpan w:val="2"/>
            <w:vAlign w:val="center"/>
          </w:tcPr>
          <w:p>
            <w:pPr>
              <w:ind w:left="125" w:right="89" w:firstLine="9"/>
              <w:jc w:val="left"/>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七)法律、法规、规章规定应当从轻或减轻处罚的其他情形。</w:t>
            </w:r>
          </w:p>
        </w:tc>
        <w:tc>
          <w:tcPr>
            <w:tcW w:w="1950" w:type="pct"/>
            <w:gridSpan w:val="2"/>
            <w:vAlign w:val="center"/>
          </w:tcPr>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b/>
                <w:spacing w:val="13"/>
                <w:sz w:val="24"/>
                <w:szCs w:val="24"/>
              </w:rPr>
              <w:t>【行政法规】</w:t>
            </w:r>
            <w:r>
              <w:rPr>
                <w:rFonts w:hint="eastAsia" w:ascii="仿宋_GB2312" w:hAnsi="仿宋_GB2312" w:eastAsia="仿宋_GB2312" w:cs="仿宋_GB2312"/>
                <w:spacing w:val="13"/>
                <w:sz w:val="24"/>
                <w:szCs w:val="24"/>
              </w:rPr>
              <w:t>《医疗保障基金使用监督管理条例》第三十八条：定点医药机构有下列情形之一的，由医疗保障行政部门责令改正，并可以约谈有关负责人；造成医疗保障基金损失的，责令退回，处造成损失金额1倍以上2倍以下的罚款；拒不改正或者造成严重后果的，责令定点医药机构暂停相关责任部门6个月以上1年以下涉及医疗保障基使用的医药服务；违反其他法律、行政法规的，由有关主管部门依法处理：(一)分解住院、挂床住院；(二)违反诊疗规范过度诊疗、过度检查、分解处方、超量开药、重复开药或者提供其他不必要的医药服务；(三)重复收费、超标准收费、分解项目收费；(四)串换药品、医用耗材、诊疗项目和服务设施；(五)为参保人员利用其享受医疗保障待遇的机会转卖药品，接受返还现金、实物或者获得其他非法利益提供便利；(六)将不属于医疗保障基金支付范围的医药费用纳入医疗保障基金结算；(七)造成医疗保障基金损失的其他违法行为。</w:t>
            </w:r>
          </w:p>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国家医疗保障局《规范医疗保障基金使用监督管理行政处罚裁量权办法》第十四条：有下列情形之一的，医疗保障行政部门应当从轻或减轻处罚：(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七)法律、法规、规章规定应当从轻或减轻处罚的其他情形。</w:t>
            </w:r>
          </w:p>
          <w:p>
            <w:pPr>
              <w:ind w:left="125" w:right="89" w:firstLine="9"/>
              <w:rPr>
                <w:rFonts w:hint="eastAsia" w:ascii="仿宋_GB2312" w:hAnsi="仿宋_GB2312" w:eastAsia="仿宋_GB2312" w:cs="仿宋_GB2312"/>
                <w:sz w:val="24"/>
                <w:szCs w:val="24"/>
              </w:rPr>
            </w:pPr>
            <w:r>
              <w:rPr>
                <w:rFonts w:hint="eastAsia" w:ascii="仿宋_GB2312" w:hAnsi="仿宋_GB2312" w:eastAsia="仿宋_GB2312" w:cs="仿宋_GB2312"/>
                <w:spacing w:val="13"/>
                <w:sz w:val="24"/>
                <w:szCs w:val="24"/>
              </w:rPr>
              <w:t>内蒙古自治区医疗保障局《规范内蒙古自治区医疗保障基金监督管理领域行政处罚裁量权实施办法(暂行)》第十一条：(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 (七)法律、法规、规章规定应当从轻或减轻处罚的其他情形。</w:t>
            </w:r>
          </w:p>
        </w:tc>
        <w:tc>
          <w:tcPr>
            <w:tcW w:w="506"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pacing w:val="16"/>
                <w:sz w:val="24"/>
                <w:szCs w:val="24"/>
              </w:rPr>
              <w:t>谈话、提醒、</w:t>
            </w:r>
            <w:r>
              <w:rPr>
                <w:rFonts w:hint="eastAsia" w:ascii="仿宋_GB2312" w:hAnsi="仿宋_GB2312" w:eastAsia="仿宋_GB2312" w:cs="仿宋_GB2312"/>
                <w:spacing w:val="3"/>
                <w:sz w:val="24"/>
                <w:szCs w:val="24"/>
              </w:rPr>
              <w:t>说服教育、回</w:t>
            </w:r>
            <w:r>
              <w:rPr>
                <w:rFonts w:hint="eastAsia" w:ascii="仿宋_GB2312" w:hAnsi="仿宋_GB2312" w:eastAsia="仿宋_GB2312" w:cs="仿宋_GB2312"/>
                <w:spacing w:val="-2"/>
                <w:sz w:val="24"/>
                <w:szCs w:val="24"/>
              </w:rPr>
              <w:t>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ind w:left="125" w:right="89" w:firstLine="9"/>
              <w:jc w:val="center"/>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4</w:t>
            </w:r>
          </w:p>
        </w:tc>
        <w:tc>
          <w:tcPr>
            <w:tcW w:w="848" w:type="pct"/>
            <w:gridSpan w:val="2"/>
            <w:vAlign w:val="center"/>
          </w:tcPr>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对个人造成医疗保障基金损失的行为</w:t>
            </w:r>
          </w:p>
        </w:tc>
        <w:tc>
          <w:tcPr>
            <w:tcW w:w="1436" w:type="pct"/>
            <w:gridSpan w:val="2"/>
            <w:vAlign w:val="center"/>
          </w:tcPr>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行政机关查处违法行为、如实陈述违法事实并主动提供证据材料的；(六)主动投案向行政机关如实交代违法行为的；(七)法律、法规、规章规定应当从轻或减轻处罚的其他情形。</w:t>
            </w:r>
          </w:p>
        </w:tc>
        <w:tc>
          <w:tcPr>
            <w:tcW w:w="1950" w:type="pct"/>
            <w:gridSpan w:val="2"/>
            <w:vAlign w:val="center"/>
          </w:tcPr>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b/>
                <w:spacing w:val="13"/>
                <w:sz w:val="24"/>
                <w:szCs w:val="24"/>
              </w:rPr>
              <w:t>【行政法规】</w:t>
            </w:r>
            <w:r>
              <w:rPr>
                <w:rFonts w:hint="eastAsia" w:ascii="仿宋_GB2312" w:hAnsi="仿宋_GB2312" w:eastAsia="仿宋_GB2312" w:cs="仿宋_GB2312"/>
                <w:spacing w:val="13"/>
                <w:sz w:val="24"/>
                <w:szCs w:val="24"/>
              </w:rPr>
              <w:t>《医疗保障基金使用监督管理条例》第四十一条：个人有下列情形之一的，由医疗保障行政部门责令改正；造成医疗保障基金损失的，责令退回；属于参保人员的，暂停其医疗费用联网结算3个月至12个月：(一)将本人的医疗保障凭证交由他人冒名使用；(二)重复享受医疗保障待遇。(三)利用享受医疗保障待遇的机会转卖药品，接受返还现金、实物或者获得其他非法利益。个人以骗取医疗保障基金为目的，实施了前款规定行为之一，造成医疗保障基金损失的；或者使用他人医疗保障凭证冒名就医、购药的；或者通过伪造、变造、隐匿、涂改、销毁医学文书、医学证明、会计凭证、电子信息等有关资料或者虚构医药服务项目等方式，骗取医疗保障基金支出的，除依照前款规定处理外，还应当由医疗保障行政部门处骗取金额2倍以上5倍以下的罚款。</w:t>
            </w:r>
          </w:p>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国家医疗保障局《规范医疗保障基金使用监督管理行政处罚裁量权办法》第十四条：有下列情形之一的，医疗保障行政部门应当从轻或减轻处罚：(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七)法律、法规、规章规定应当从轻或减轻处罚的其他情形。</w:t>
            </w:r>
          </w:p>
          <w:p>
            <w:pPr>
              <w:ind w:left="125"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内蒙古自治区医疗保障局《规范内蒙古自治区医疗保障基金监督管理领域行政处罚裁量权实施办法(暂行)》第十一条：(一)已满十四周岁不满十八周岁的未成年人实施违法行为的；(二)主动消除或减轻基金使用违法行为危害后果的；(三)受他人胁迫或者诱骗实施违法行为的；(四)主动供述行政机关尚未掌握的基金使用违法行为的关键线索或证据，并经查证属实的；(五)积极配合行政机关查处违法行为、如实陈述违法事实并主动提供证据材料的；(六)主动投案向行政机关如实交代违法行为的； (七)法律、法规、规章规定应当从轻或减轻处罚的其他情形。</w:t>
            </w:r>
          </w:p>
        </w:tc>
        <w:tc>
          <w:tcPr>
            <w:tcW w:w="506" w:type="pct"/>
            <w:gridSpan w:val="2"/>
            <w:vAlign w:val="center"/>
          </w:tcPr>
          <w:p>
            <w:pPr>
              <w:ind w:right="89" w:firstLine="9"/>
              <w:rPr>
                <w:rFonts w:hint="eastAsia" w:ascii="仿宋_GB2312" w:hAnsi="仿宋_GB2312" w:eastAsia="仿宋_GB2312" w:cs="仿宋_GB2312"/>
                <w:spacing w:val="13"/>
                <w:sz w:val="24"/>
                <w:szCs w:val="24"/>
              </w:rPr>
            </w:pPr>
            <w:r>
              <w:rPr>
                <w:rFonts w:hint="eastAsia" w:ascii="仿宋_GB2312" w:hAnsi="仿宋_GB2312" w:eastAsia="仿宋_GB2312" w:cs="仿宋_GB2312"/>
                <w:spacing w:val="13"/>
                <w:sz w:val="24"/>
                <w:szCs w:val="24"/>
              </w:rPr>
              <w:t>谈话、提醒、说服教育、回访督促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pStyle w:val="2"/>
              <w:spacing w:after="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不符合《中华人民共和国道路运输条例》第九条、第二十二条规定条件的驾驶人员从事客运经营、货运经营的</w:t>
            </w:r>
          </w:p>
        </w:tc>
        <w:tc>
          <w:tcPr>
            <w:tcW w:w="1436" w:type="pct"/>
            <w:gridSpan w:val="2"/>
            <w:vAlign w:val="center"/>
          </w:tcPr>
          <w:p>
            <w:pPr>
              <w:numPr>
                <w:ilvl w:val="0"/>
                <w:numId w:val="1"/>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numPr>
                <w:ilvl w:val="0"/>
                <w:numId w:val="1"/>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四条：不符合本条例第九条、第二十二条规定条件的人员驾驶道路运输经营车辆的，由县级以上地方人民政府交通运输主管部门责令改正，处200元以上2000元以下的罚款；构成犯罪的，依法追究刑事责任。</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客运经营者、货运经营者、道路运输相关业务经营者非法转让、出租道路运输许可证件的</w:t>
            </w:r>
          </w:p>
        </w:tc>
        <w:tc>
          <w:tcPr>
            <w:tcW w:w="1436" w:type="pct"/>
            <w:gridSpan w:val="2"/>
            <w:vAlign w:val="center"/>
          </w:tcPr>
          <w:p>
            <w:pPr>
              <w:numPr>
                <w:ilvl w:val="0"/>
                <w:numId w:val="2"/>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六条：违反本条例的规定，客运经营者、货运经营者、道路运输相关业务经营者非法转让、出租道路运输许可证件的，由县级以上地方人民政府交通运输主管部门责令停止违法行为，收缴有关证件，处2000元以上1万元以下的罚款；有违法所得的，没收违法所得。</w:t>
            </w:r>
          </w:p>
        </w:tc>
        <w:tc>
          <w:tcPr>
            <w:tcW w:w="506" w:type="pct"/>
            <w:gridSpan w:val="2"/>
            <w:vAlign w:val="center"/>
          </w:tcPr>
          <w:p>
            <w:pPr>
              <w:jc w:val="left"/>
              <w:rPr>
                <w:rFonts w:hint="eastAsia" w:ascii="仿宋_GB2312" w:hAnsi="仿宋_GB2312" w:eastAsia="仿宋_GB2312" w:cs="仿宋_GB2312"/>
                <w:b/>
                <w:bCs/>
                <w:sz w:val="24"/>
                <w:szCs w:val="24"/>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客运经营者、货运经营者不按批准的客运站点停靠或者不按规定的线路、公布的班次行驶的</w:t>
            </w:r>
          </w:p>
        </w:tc>
        <w:tc>
          <w:tcPr>
            <w:tcW w:w="1436" w:type="pct"/>
            <w:gridSpan w:val="2"/>
            <w:vAlign w:val="center"/>
          </w:tcPr>
          <w:p>
            <w:pPr>
              <w:numPr>
                <w:ilvl w:val="0"/>
                <w:numId w:val="3"/>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一项：违反本条例的规定，客运经营者、货运经营者有下列情形之一的，由县级以上地方人民政府交通运输主管部门责令改正，处1000元以上3000元以下的罚款；情节严重的，由原许可机关吊销道路运输经营许可证：不按批准的客运站点停靠或者不按规定的线路、公布的班次行驶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kern w:val="0"/>
                <w:sz w:val="24"/>
                <w:szCs w:val="24"/>
                <w:shd w:val="clear" w:color="auto" w:fill="FFFFFF"/>
              </w:rPr>
              <w:t>4</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客运经营者、货运经营者强行招揽旅客、货物的</w:t>
            </w:r>
          </w:p>
        </w:tc>
        <w:tc>
          <w:tcPr>
            <w:tcW w:w="1436" w:type="pct"/>
            <w:gridSpan w:val="2"/>
            <w:vAlign w:val="center"/>
          </w:tcPr>
          <w:p>
            <w:pPr>
              <w:numPr>
                <w:ilvl w:val="0"/>
                <w:numId w:val="4"/>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sz w:val="24"/>
                <w:szCs w:val="24"/>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二项：违反本条例的规定，客运经营者、货运经营者有下列情形之一的，由县级以上地方人民政府交通运输主管部门责令改正，处1000元以上3000元以下的罚款；情节严重的，由原许可机关吊销道路运输经营许可证：强行招揽旅客、货物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5</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客运经营者、货运经营者在旅客运输途中擅自变更运输车辆或者将旅客移交他人运输的</w:t>
            </w:r>
          </w:p>
        </w:tc>
        <w:tc>
          <w:tcPr>
            <w:tcW w:w="1436" w:type="pct"/>
            <w:gridSpan w:val="2"/>
            <w:vAlign w:val="center"/>
          </w:tcPr>
          <w:p>
            <w:pPr>
              <w:numPr>
                <w:ilvl w:val="0"/>
                <w:numId w:val="5"/>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三项：违反本条例的规定，客运经营者、货运经营者有下列情形之一的，由县级以上地方人民政府交通运输主管部门责令改正，处1000元以上3000元以下的罚款；情节严重的，由原许可机关吊销道路运输经营许可证：在旅客运输途中擅自变更运输车辆或者将旅客移交他人运输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6</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客运经营者、货运经营者未报告原许可机关，擅自终止客运经营的</w:t>
            </w:r>
          </w:p>
        </w:tc>
        <w:tc>
          <w:tcPr>
            <w:tcW w:w="1436" w:type="pct"/>
            <w:gridSpan w:val="2"/>
            <w:vAlign w:val="center"/>
          </w:tcPr>
          <w:p>
            <w:pPr>
              <w:numPr>
                <w:ilvl w:val="0"/>
                <w:numId w:val="6"/>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四项：违反本条例的规定，客运经营者、货运经营者有下列情形之一的，由县级以上地方人民政府交通运输主管部门责令改正，处1000元以上3000元以下的罚款；情节严重的，由原许可机关吊销道路运输经营许可证：未报告原许可机关，擅自终止客运经营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7</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客运经营者、货运经营者没有采取必要措施防止货物脱落、扬撒等的</w:t>
            </w:r>
          </w:p>
        </w:tc>
        <w:tc>
          <w:tcPr>
            <w:tcW w:w="1436" w:type="pct"/>
            <w:gridSpan w:val="2"/>
            <w:vAlign w:val="center"/>
          </w:tcPr>
          <w:p>
            <w:pPr>
              <w:numPr>
                <w:ilvl w:val="0"/>
                <w:numId w:val="7"/>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中华人民共和国道路运输条例》第六十九条第五项：违反本条例的规定，客运经营者、货运经营者有下列情形之一的，由县级以上地方人民政府交通运输主管部门责令改正，处1000元以上3000元以下的罚款；情节严重的，由原许可机关吊销道路运输经营许可证：没有采取必要措施防止货物脱落、扬撒等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8</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巡游出租汽车驾驶员拒载、议价、途中甩客或者故意绕道行驶的</w:t>
            </w:r>
          </w:p>
        </w:tc>
        <w:tc>
          <w:tcPr>
            <w:tcW w:w="1436" w:type="pct"/>
            <w:gridSpan w:val="2"/>
            <w:vAlign w:val="center"/>
          </w:tcPr>
          <w:p>
            <w:pPr>
              <w:numPr>
                <w:ilvl w:val="0"/>
                <w:numId w:val="8"/>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一项：巡游出租汽车驾驶员违反本规定，有下列情形之一的，由县级以上地方人民政府出租汽车行政主管部门责令改正，并处以200元以上500元以下罚款：拒载、议价、途中甩客或者故意绕道行驶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9</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巡游出租汽车驾驶员未经乘客同意搭载其他乘客的</w:t>
            </w:r>
          </w:p>
        </w:tc>
        <w:tc>
          <w:tcPr>
            <w:tcW w:w="1436" w:type="pct"/>
            <w:gridSpan w:val="2"/>
            <w:vAlign w:val="center"/>
          </w:tcPr>
          <w:p>
            <w:pPr>
              <w:numPr>
                <w:ilvl w:val="0"/>
                <w:numId w:val="9"/>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二项：巡游出租汽车驾驶员违反本规定，有下列情形之一的，由县级以上地方人民政府出租汽车行政主管部门责令改正，并处以200元以上500元以下罚款：未经乘客同意搭载其他乘客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10</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巡游出租汽车驾驶员不按照规定使用计程计价设备、违规收费的</w:t>
            </w:r>
          </w:p>
        </w:tc>
        <w:tc>
          <w:tcPr>
            <w:tcW w:w="1436" w:type="pct"/>
            <w:gridSpan w:val="2"/>
            <w:vAlign w:val="center"/>
          </w:tcPr>
          <w:p>
            <w:pPr>
              <w:numPr>
                <w:ilvl w:val="0"/>
                <w:numId w:val="10"/>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三项：巡游出租汽车驾驶员违反本规定，有下列情形之一的，由县级以上地方人民政府出租汽车行政主管部门责令改正，并处以200元以上500元以下罚款：不按照规定使用计程计价设备、违规收费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11</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巡游出租汽车驾驶员不按照规定出具相应车费票据的</w:t>
            </w:r>
          </w:p>
        </w:tc>
        <w:tc>
          <w:tcPr>
            <w:tcW w:w="1436" w:type="pct"/>
            <w:gridSpan w:val="2"/>
            <w:vAlign w:val="center"/>
          </w:tcPr>
          <w:p>
            <w:pPr>
              <w:numPr>
                <w:ilvl w:val="0"/>
                <w:numId w:val="11"/>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四项：巡游出租汽车驾驶员违反本规定，有下列情形之一的，由县级以上地方人民政府出租汽车行政主管部门责令改正，并处以200元以上500元以下罚款：不按照规定出具相应车费票据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12</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巡游出租汽车驾驶员不按照规定使用巡游出租汽车相关设备的</w:t>
            </w:r>
          </w:p>
        </w:tc>
        <w:tc>
          <w:tcPr>
            <w:tcW w:w="1436" w:type="pct"/>
            <w:gridSpan w:val="2"/>
            <w:vAlign w:val="center"/>
          </w:tcPr>
          <w:p>
            <w:pPr>
              <w:numPr>
                <w:ilvl w:val="0"/>
                <w:numId w:val="12"/>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五项：巡游出租汽车驾驶员违反本规定，有下列情形之一的，由县级以上地方人民政府出租汽车行政主管部门责令改正，并处以200元以上500元以下罚款：不按照规定使用巡游出租汽车相关设备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13</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巡游出租汽车驾驶员接受巡游出租汽车电召任务后未履行约定的</w:t>
            </w:r>
          </w:p>
        </w:tc>
        <w:tc>
          <w:tcPr>
            <w:tcW w:w="1436" w:type="pct"/>
            <w:gridSpan w:val="2"/>
            <w:vAlign w:val="center"/>
          </w:tcPr>
          <w:p>
            <w:pPr>
              <w:numPr>
                <w:ilvl w:val="0"/>
                <w:numId w:val="13"/>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六项:巡游出租汽车驾驶员违反本规定，有下列情形之一的，由县级以上地方人民政府出租汽车行政主管部门责令改正，并处以200元以上500元以下罚款：接受巡游出租汽车电召任务后未履行约定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14</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巡游出租汽车驾驶员不按照规定使用文明用语，车容车貌不符合要求的</w:t>
            </w:r>
          </w:p>
        </w:tc>
        <w:tc>
          <w:tcPr>
            <w:tcW w:w="1436" w:type="pct"/>
            <w:gridSpan w:val="2"/>
            <w:vAlign w:val="center"/>
          </w:tcPr>
          <w:p>
            <w:pPr>
              <w:numPr>
                <w:ilvl w:val="0"/>
                <w:numId w:val="14"/>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七项:巡游出租汽车驾驶员违反本规定，有下列情形之一的，由县级以上地方人民政府出租汽车行政主管部门责令改正，并处以200元以上500元以下罚款：不按照规定使用文明用语，车容车貌不符合要求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15</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巡游出租汽车驾驶员在机场、火车站、汽车客运站、港口、公共交通枢纽等客流集散地不服从调度私自揽客的</w:t>
            </w:r>
          </w:p>
        </w:tc>
        <w:tc>
          <w:tcPr>
            <w:tcW w:w="1436" w:type="pct"/>
            <w:gridSpan w:val="2"/>
            <w:vAlign w:val="center"/>
          </w:tcPr>
          <w:p>
            <w:pPr>
              <w:numPr>
                <w:ilvl w:val="0"/>
                <w:numId w:val="15"/>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八项:巡游出租汽车驾驶员违反本规定，有下列情形之一的，由县级以上地方人民政府出租汽车行政主管部门责令改正，并处以200元以上500元以下罚款：在机场、火车站、汽车客运站、港口、公共交通枢纽等客流集散地不服从调度私自揽客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16</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巡游出租汽车驾驶员转让、倒卖、伪造巡游出租汽车相关票据的</w:t>
            </w:r>
          </w:p>
        </w:tc>
        <w:tc>
          <w:tcPr>
            <w:tcW w:w="1436" w:type="pct"/>
            <w:gridSpan w:val="2"/>
            <w:vAlign w:val="center"/>
          </w:tcPr>
          <w:p>
            <w:pPr>
              <w:numPr>
                <w:ilvl w:val="0"/>
                <w:numId w:val="16"/>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巡游出租汽车经营服务管理规定》第四十八条第九项:巡游出租汽车驾驶员违反本规定，有下列情形之一的，由县级以上地方人民政府出租汽车行政主管部门责令改正，并处以200元以上500元以下罚款：转让、倒卖、伪造巡游出租汽车相关票据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17</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未取得从业资格证或者超越从业资格证核定范围，驾驶出租汽车从事经营活动的</w:t>
            </w:r>
          </w:p>
        </w:tc>
        <w:tc>
          <w:tcPr>
            <w:tcW w:w="1436" w:type="pct"/>
            <w:gridSpan w:val="2"/>
            <w:vAlign w:val="center"/>
          </w:tcPr>
          <w:p>
            <w:pPr>
              <w:numPr>
                <w:ilvl w:val="0"/>
                <w:numId w:val="17"/>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出租汽车驾驶员从业资格管理规定》第四十一条第一项:违反本规定，有下列行为之一的人员，由县级以上出租汽车行政主管部门责令改正，并处200元以上2000元以下的罚款；构成犯罪的，依法追究刑事责任：未取得从业资格证或者超越从业资格证核定范围，驾驶出租汽车从事经营活动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18</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使用失效、伪造、变造的从业资格证，驾驶出租汽车从事经营活动的</w:t>
            </w:r>
          </w:p>
        </w:tc>
        <w:tc>
          <w:tcPr>
            <w:tcW w:w="1436" w:type="pct"/>
            <w:gridSpan w:val="2"/>
            <w:vAlign w:val="center"/>
          </w:tcPr>
          <w:p>
            <w:pPr>
              <w:numPr>
                <w:ilvl w:val="0"/>
                <w:numId w:val="18"/>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出租汽车驾驶员从业资格管理规定》第四十一条第二项:违反本规定，有下列行为之一的人员，由县级以上出租汽车行政主管部门责令改正，并处200元以上2000元以下的罚款；构成犯罪的，依法追究刑事责任：使用失效、伪造、变造的从业资格证，驾驶出租汽车从事经营活动的。</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p>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19</w:t>
            </w:r>
          </w:p>
        </w:tc>
        <w:tc>
          <w:tcPr>
            <w:tcW w:w="848" w:type="pct"/>
            <w:gridSpan w:val="2"/>
            <w:vAlign w:val="center"/>
          </w:tcPr>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转借、出租、涂改从业资格证的</w:t>
            </w:r>
          </w:p>
        </w:tc>
        <w:tc>
          <w:tcPr>
            <w:tcW w:w="1436" w:type="pct"/>
            <w:gridSpan w:val="2"/>
            <w:vAlign w:val="center"/>
          </w:tcPr>
          <w:p>
            <w:pPr>
              <w:numPr>
                <w:ilvl w:val="0"/>
                <w:numId w:val="19"/>
              </w:num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主动消除或者减轻违法行为危害后果的；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(二)主动停止违法行为,并以宣传等方式消除影响、警示他人、帮助维护行政管理秩序的;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(三)一年内第一次违法,且违法情节较轻并及时纠正的;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(四)积极配合调查,如实陈述违法事实的;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(五)公民涉案财物金额或者违法所得1万元以下，法人或者其他组织涉案财物金额或者违法所得10万元以下的;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（六）受他人胁迫或者诱骗实施违法行为的；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（七）主动供述行政机关尚未掌握的违法行为的；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（八）配合行政机关查处违法行为有立功表现的。</w:t>
            </w:r>
          </w:p>
        </w:tc>
        <w:tc>
          <w:tcPr>
            <w:tcW w:w="1950" w:type="pct"/>
            <w:gridSpan w:val="2"/>
            <w:vAlign w:val="center"/>
          </w:tcPr>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1.《中华人民共和国行政处罚法》第三十二条：当事人有下列情形之一，应当从轻或者减轻行政处罚：</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（一）主动消除或者减轻违法行为危害后果的；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（二）受他人胁迫或者诱骗实施违法行为的；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（三）主动供述行政机关尚未掌握的违法行为的；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（四）配合行政机关查处违法行为有立功表现的；</w:t>
            </w:r>
          </w:p>
          <w:p>
            <w:pPr>
              <w:ind w:firstLine="480" w:firstLineChars="200"/>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（五）法律、法规、规章规定其他应当从轻或者减轻行政处罚的。</w:t>
            </w:r>
          </w:p>
          <w:p>
            <w:pP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内蒙古自治区交通运输行政处罚裁量权适用规则》第九条：从轻处罚是指在法定处罚种类和幅度内，选择较轻的处罚种类或者低于对应处罚级别的处罚幅度。有下列情形之一的，应当从轻处罚：（一）主动停止违法行为，减轻违法行为危害后果的；……</w:t>
            </w: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3.《出租汽车驾驶员从业资格管理规定》第四十一条第三项:违反本规定，有下列行为之一的人员，由县级以上出租汽车行政主管部门责令改正，并处200元以上2000元以下的罚款；构成犯罪的，依法追究刑事责任：转借、出租、涂改从业资格证的。   </w:t>
            </w:r>
          </w:p>
        </w:tc>
        <w:tc>
          <w:tcPr>
            <w:tcW w:w="506" w:type="pct"/>
            <w:gridSpan w:val="2"/>
            <w:vAlign w:val="center"/>
          </w:tcPr>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p>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说服教育，在执法过程中普法。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jc w:val="center"/>
              <w:rPr>
                <w:rFonts w:hint="eastAsia" w:ascii="仿宋_GB2312" w:hAnsi="仿宋_GB2312" w:eastAsia="仿宋_GB2312" w:cs="仿宋_GB2312"/>
                <w:b/>
                <w:kern w:val="0"/>
                <w:sz w:val="24"/>
                <w:szCs w:val="24"/>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kern w:val="0"/>
                <w:sz w:val="40"/>
                <w:szCs w:val="40"/>
                <w:shd w:val="clear" w:color="auto" w:fill="FFFFFF"/>
              </w:rPr>
              <w:t>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合伙企业登记事项发生变更时，未依照合伙企业法规定办理变更登记的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《中华人民共和国合伙企业法》第九十五条第二款：“合伙企业登记事项发生变更时，未依照本法规定办理变更登记的，由企业登记机关责令限期登记；逾期不登记的，处以二千元以上二万元以下的罚款。”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个人独资企业使用的名称与其在登记机关登记的名称不相符合的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《中华人民共和国个人独资企业法》第三十四条：“违反本法规定，个人独资企业使用的名称与其在登记机关登记的名称不相符合的，责令限期改正，处以二千元以下的罚款。”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未领取营业执照，以个人独资企业名义从事经营活动的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《中华人民共和国个人独资企业法》第三十七条第一款：“违反本法规定，未领取营业执照，以个人独资企业名义从事经营活动的，责令停止经营活动，处以三千元以下的罚款。”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4</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个人独资企业登记事项发生变更，未依照本办法规定办理变更登记的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《中华人民共和国个人独资企业法》第三十七条第二款：“个人独资企业登记事项发生变更时，未按本法规定办理有关变更登记的，责令限期办理变更登记；逾期不办理的，处以二千元以下的罚款。”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5</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未经设立登记从事一般经营活动的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3"/>
                <w:rFonts w:hint="eastAsia" w:ascii="仿宋_GB2312" w:hAnsi="仿宋_GB2312" w:eastAsia="仿宋_GB2312" w:cs="仿宋_GB2312"/>
                <w:sz w:val="24"/>
                <w:szCs w:val="24"/>
              </w:rPr>
              <w:t>《中华人民共和国市场主体登记管理条例》第四十三条：“未经设立登记从事经营活动的，由登记机关责令改正，没收违法所得；拒不改正的，处1万元以上10万元以下的罚款；情节严重的，依法责令关闭停业，并处10万元以上50万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6</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实行注册资本实缴登记制的市场主体虚报注册资本取得市场主体登记的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3"/>
                <w:rFonts w:hint="eastAsia" w:ascii="仿宋_GB2312" w:hAnsi="仿宋_GB2312" w:eastAsia="仿宋_GB2312" w:cs="仿宋_GB2312"/>
                <w:sz w:val="24"/>
                <w:szCs w:val="24"/>
              </w:rPr>
              <w:t>《中华人民共和国市场主体登记管理条例》第四十五条　第一款实行注册资本实缴登记制的市场主体虚报注册资本取得市场主体登记的，由登记机关责令改正，处虚报注册资本金额5%以上15%以下的罚款；情节严重的，吊销营业执照。</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7</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实行注册资本实缴登记制的市场主体的发起人、股东虚假出资，未交付或者未按期交付作为出资的货币或者非货币财产的，或者在市场主体成立后抽逃出资的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3"/>
                <w:rFonts w:hint="eastAsia" w:ascii="仿宋_GB2312" w:hAnsi="仿宋_GB2312" w:eastAsia="仿宋_GB2312" w:cs="仿宋_GB2312"/>
                <w:sz w:val="24"/>
                <w:szCs w:val="24"/>
              </w:rPr>
              <w:t>《中华人民共和国市场主体登记管理条例》第四十五条第二款　实行注册资本实缴登记制的市场主体的发起人、股东虚假出资，未交付或者未按期交付作为出资的货币或者非货币财产的，或者在市场主体成立后抽逃出资的，由登记机关责令改正，处虚假出资金额5%以上15%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8</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明知属于无照</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经营而为经营</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者提供经营场</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所，或者提供</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运输、保管、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仓储等条件的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3"/>
                <w:rFonts w:hint="eastAsia" w:ascii="仿宋_GB2312" w:hAnsi="仿宋_GB2312" w:eastAsia="仿宋_GB2312" w:cs="仿宋_GB2312"/>
                <w:sz w:val="24"/>
                <w:szCs w:val="24"/>
              </w:rPr>
              <w:t>《无证无照经营查处办法》第十四条明知属于无照经营而为经营者提供经营场所，</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或者提供运输、保管、仓储等条件的，由工商行政管理部门责令停止违法行为，没收违</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法所得，可以处 5000 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9</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经营者实施混淆行为，引人误认为是他人</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商品或者与他</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人存在特定联</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系的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《中华人民共和国反不正当竞争法》第六条经营者不得实施下列混淆行为，引人</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误认为是他人商品或者与他人存在特定联系：</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一) 擅自使用与他人有一定影响的商品名称、包装、装潢等相同或者近似的标识；</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(二) 擅自使用他人有一定影响的企业名称 (包括简称、字号等) 、社会组织名称</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(包括简称等) 、姓名 (包括笔名、艺名、译名等) ；</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(三) 擅自使用他人有一定影响的域名主体部分、网站名称、网页等；</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(四) 其他足以引人误认为是他人商品或者与他人存在特定联系的混淆行为。</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3"/>
                <w:rFonts w:hint="eastAsia" w:ascii="仿宋_GB2312" w:hAnsi="仿宋_GB2312" w:eastAsia="仿宋_GB2312" w:cs="仿宋_GB2312"/>
                <w:sz w:val="24"/>
                <w:szCs w:val="24"/>
              </w:rPr>
              <w:t>《中华人民共和国反不正当竞争法》第十八条第一款经营者违反本法第六条规</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定实施混淆行为的，由监督检查部门责令停止违法行为，没收违法商品。违法经营额五</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万元以上的，可以并处违法经营额五倍以下的罚款；没有违法经营额或者违法经营额不</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足五万元的，可以并处二十五万元以下的罚款。情节严重的，吊销营业执照。</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10</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直销员未按规定向消费者推</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销产品的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【行政法规】</w:t>
            </w:r>
            <w:r>
              <w:rPr>
                <w:rStyle w:val="13"/>
                <w:rFonts w:hint="eastAsia" w:ascii="仿宋_GB2312" w:hAnsi="仿宋_GB2312" w:eastAsia="仿宋_GB2312" w:cs="仿宋_GB2312"/>
                <w:sz w:val="24"/>
                <w:szCs w:val="24"/>
              </w:rPr>
              <w:t>《直销管理条例》第二十二条直销员向消费者推销产品，应当遵守下列规定：</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一) 出示直销员证和推销合同；</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(二) 未经消费者同意，不得进入消费者住所强行推销产品，消费者要求其停止推</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销活动的，应当立即停止，并离开消费者住所；</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(三) 成交前，向消费者详细介绍本企业的退货制度；</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(四) 成交后，向消费者提供发票和由直销企业出具的含有退货制度、直销企业当</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地服务网点地址和电话号码等内容的售货凭证。</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《直销管理条例》第四十七条直销员违反本条例第二十二条规定的，由工商行政</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管理部门没收违法销售收入，可以处 5 万元以下的罚款；情节严重的，责令直销企业撤</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销其直销员资格，并对直销企业处 1 万元以上 10 万元以下的罚款。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11</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侵犯他人注册商标专用权的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《中华人民共和国商标法》第五十七条有下列行为之一的，均属侵犯注册商标专</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用权：</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(一) 未经商标注册人的许可，在同一种商品上使用与其注册商标相同的商标的；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(二) 未经商标注册人的许可，在同一种商品上使用与其注册商标近似的商标，或</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者在类似商品上使用与其注册商标相同或者近似的商标，容易导致混淆的；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(三) 销售侵犯注册商标专用权的商品的；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(四) 伪造、擅自制造他人注册商标标识或者销售伪造、擅自制造的注册商标标识</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(五)未经商标注册人同意，更换其注册商标并将该更换商标的商品又投入市场的；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(六) 故意为侵犯他人商标专用权行为提供便利条件，帮助他人实施侵犯商标专用</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权行为的；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(七) 给他人的注册商标专用权造成其他损害的。</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3"/>
                <w:rFonts w:hint="eastAsia" w:ascii="仿宋_GB2312" w:hAnsi="仿宋_GB2312" w:eastAsia="仿宋_GB2312" w:cs="仿宋_GB2312"/>
                <w:sz w:val="24"/>
                <w:szCs w:val="24"/>
              </w:rPr>
              <w:t>《中华人民共和国商标法》第六十条有本法第五十七条所列侵犯注册商标专用权</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行为之一，引起纠纷的，由当事人协商解决；不愿协商或者协商不成的，商标注册人或</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者利害关系人可以向人民法院起诉，也可以请求工商行政管理部门处理。工商行政管理</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部门处理时，认定侵权行为成立的，责令立即停止侵权行为，没收、销毁侵权商品和主</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要用于制造侵权商品、伪造注册商标标识的工具，违法经营额五万元以上的，可以处违</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法经营额五倍以下的罚款，没有违法经营额或者违法经营额不足五万元的，可以处二十</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五万元以下的罚款。对五年内实施两次以上商标侵权行为或者有其他严重情节的，应当</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从重处罚。销售不知道是侵犯注册商标专用权的商品，能证明该商品是自己合法取得并</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说明提供者的，由工商行政管理部门责令停止销售。</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12</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未经许可从事拍卖业务的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《中华人民共和国拍卖法》第十一条企业取得从事拍卖业务的许可必须经所在地</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的省、自治区、直辖市人民政府负责管理拍卖业的部门审核批准。拍卖企业可以在设区</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的市设立。</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3"/>
                <w:rFonts w:hint="eastAsia" w:ascii="仿宋_GB2312" w:hAnsi="仿宋_GB2312" w:eastAsia="仿宋_GB2312" w:cs="仿宋_GB2312"/>
                <w:sz w:val="24"/>
                <w:szCs w:val="24"/>
              </w:rPr>
              <w:t>《中华人民共和国拍卖法》第六十条违反本法第十一条的规定，未经许可从事拍</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卖业务的，由工商行政管理部门予以取缔，没收违法所得，并可以处违法所得一倍以上</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五倍以下的罚款。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13</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拍卖人及其工作人员参与竞买或者委托他</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人代为竞买行为的</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Style w:val="13"/>
                <w:rFonts w:hint="eastAsia" w:ascii="仿宋_GB2312" w:hAnsi="仿宋_GB2312" w:eastAsia="仿宋_GB2312" w:cs="仿宋_GB2312"/>
                <w:sz w:val="24"/>
                <w:szCs w:val="24"/>
              </w:rPr>
              <w:t>《中华人民共和国拍卖法》第二十二条拍卖人及其工作人员不得以竞买人的身份</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参与自己组织的拍卖活动，并不得委托他人代为竞买。</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3"/>
                <w:rFonts w:hint="eastAsia" w:ascii="仿宋_GB2312" w:hAnsi="仿宋_GB2312" w:eastAsia="仿宋_GB2312" w:cs="仿宋_GB2312"/>
                <w:sz w:val="24"/>
                <w:szCs w:val="24"/>
              </w:rPr>
              <w:t>《中华人民共和国拍卖法》第六十二条拍卖人及其工作人员违反本法第二十二条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的规定，参与竞买或者委托他人代为竞买的，由工商行政管理部门对拍卖人给予警告，</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可以处拍卖佣金一倍以上五倍以下的罚款；情节严重的，吊销营业执照。</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14</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对违反明码标价规定的行为的行政处罚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《中华人民共和国价格法》</w:t>
            </w:r>
            <w:r>
              <w:rPr>
                <w:rStyle w:val="13"/>
                <w:rFonts w:hint="eastAsia" w:ascii="仿宋_GB2312" w:hAnsi="仿宋_GB2312" w:eastAsia="仿宋_GB2312" w:cs="仿宋_GB2312"/>
                <w:sz w:val="24"/>
                <w:szCs w:val="24"/>
              </w:rPr>
              <w:t>第十三条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经营者销售、收购商品和提供服务，应当按照政府价格主管部门的规定明码标价，注明商品的品名、产地、规格、等级、计价单位、价格或者服务的项目、收费标准等有关情况。经营者不得在标价之外加价出售商品，不得收取任何未予标明的费用。</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《中华人民共和国价格法》</w:t>
            </w:r>
            <w:r>
              <w:rPr>
                <w:rStyle w:val="13"/>
                <w:rFonts w:hint="eastAsia" w:ascii="仿宋_GB2312" w:hAnsi="仿宋_GB2312" w:eastAsia="仿宋_GB2312" w:cs="仿宋_GB2312"/>
                <w:sz w:val="24"/>
                <w:szCs w:val="24"/>
              </w:rPr>
              <w:t>第四十二条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经营者违反明码标价规定的，责令改正，没收违法所得，可以并处五千元以下的罚款。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15</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对部门和企业、事业单位的各项最高计量标准，未经有关人民政府计量行政部门考核合格而开展计量检定的行为的行政处罚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以下一种情形，且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《中华人民共和国计量法》</w:t>
            </w:r>
            <w:r>
              <w:rPr>
                <w:rStyle w:val="13"/>
                <w:rFonts w:hint="eastAsia" w:ascii="仿宋_GB2312" w:hAnsi="仿宋_GB2312" w:eastAsia="仿宋_GB2312" w:cs="仿宋_GB2312"/>
                <w:sz w:val="24"/>
                <w:szCs w:val="24"/>
              </w:rPr>
              <w:t>第七条　国务院有关主管部门和省、自治区、直辖市人民政府有关主管部门，根据本部门的特殊需要，可以建立本部门使用的计量标准器具，其各项最高计量标准器具经同级人民政府计量行政部门主持考核合格后使用。</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《中华人民共和国计量法</w:t>
            </w:r>
            <w:r>
              <w:rPr>
                <w:rStyle w:val="13"/>
                <w:rFonts w:hint="eastAsia" w:ascii="仿宋_GB2312" w:hAnsi="仿宋_GB2312" w:eastAsia="仿宋_GB2312" w:cs="仿宋_GB2312"/>
                <w:sz w:val="24"/>
                <w:szCs w:val="24"/>
              </w:rPr>
              <w:t>》第八条　企业、事业单位根据需要，可以建立本单位使用的计量标准器具，其各项最高计量标准器具经有关人民政府计量行政部门主持考核合格后使用。</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《计量法实施细则》第九条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国务院有关主管部门和省、自治区、直辖市人民政府有关主管部门建立的本部门各项最高计量标准，经同级人民政府计量行政部门考核，符合本细则第七条规定条件并取得考核合格证的，由有关主管部门批准使用。第十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企业、事业单位建立本单位各项最高计量标准，须向与其主管部门同级的人民政府计量行政部门申请考核。乡镇企业向当地县级人民政府计量行政部门申请考核。经考核符合本细则第七条规定条件并取得考核合格证的，企业、事业单位方可使用，并向其主管部门备案。</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《计量法实施细则》第四十二条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部门和企业、事业单位的各项最高计量标准，未经有关人民政府计量行政部门考核合格而开展计量检定的，责令其停止使用，可并处1000元以下的罚款。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16</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属于强制检定范围的计量器具，未按照规定申请检定和属于非强制检定范围的计量器具未自行定期检定或者送其他计量检定机构定期检定的，以及经检定不合格继续使用的行为的行政处罚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存在以下一种情形，且危害后果轻微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《中华人民共和国计量法》</w:t>
            </w:r>
            <w:r>
              <w:rPr>
                <w:rStyle w:val="13"/>
                <w:rFonts w:hint="eastAsia" w:ascii="仿宋_GB2312" w:hAnsi="仿宋_GB2312" w:eastAsia="仿宋_GB2312" w:cs="仿宋_GB2312"/>
                <w:sz w:val="24"/>
                <w:szCs w:val="24"/>
              </w:rPr>
              <w:t>第九条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县级以上人民政府计量行政部门对社会公用计量标准器具，部门和企业、事业单位使用的最高计量标准器具，以及用于贸易结算、安全防护、医疗卫生、环境监测方面的列入强制检定目录的工作计量器具，实行强制检定。未按照规定申请检定或者检定不合格的，不得使用。实行强制检定的工作计量器具的目录和管理办法，由国务院制定。</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《计量法实施细则》第十一条第二款</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使用实行强制检定的工作计量器具的单位和个人，应当向当地县（市）级人民政府计量行政部门指定的计量检定机构申请周期检定。当地不能检定的，向上一级人民政府计量行政部门指定的计量检定机构申请周期检定。</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计量法实施细则》第十二条企业、事业单位应当配备与生产、科研、经营管理相适应的计量检测设施，制定具体的检定管理办法和规章制度，规定本单位管理的计量器具明细目录及相应的检定周期，保证使用的非强制检定的计量器具定期检定。</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【行政法规】</w:t>
            </w:r>
            <w:r>
              <w:rPr>
                <w:rStyle w:val="13"/>
                <w:rFonts w:hint="eastAsia" w:ascii="仿宋_GB2312" w:hAnsi="仿宋_GB2312" w:eastAsia="仿宋_GB2312" w:cs="仿宋_GB2312"/>
                <w:sz w:val="24"/>
                <w:szCs w:val="24"/>
              </w:rPr>
              <w:t>《计量法实施细则》第四十三条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属于强制检定范围的计量器具，未按照规定申请检定和属于非强制检定范围的计量器具未自行定期检定或者送其他计量检定机构定期检定的，以及经检定不合格继续使用的，责令其停止使用，可并处1000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17</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对以虚假或者引人误解的内容欺骗、误导消费者的其他情形的行为的处罚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《中华人民共和国广告法》</w:t>
            </w:r>
            <w:r>
              <w:rPr>
                <w:rStyle w:val="13"/>
                <w:rFonts w:hint="eastAsia" w:ascii="仿宋_GB2312" w:hAnsi="仿宋_GB2312" w:eastAsia="仿宋_GB2312" w:cs="仿宋_GB2312"/>
                <w:sz w:val="24"/>
                <w:szCs w:val="24"/>
              </w:rPr>
              <w:t>第四条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广告不得含有虚假或者引人误解的内容，不得欺骗、误导消费者。</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广告主应当对广告内容的真实性负责。</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第二十八条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欺骗、误导消费者的，构成虚假广告。</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广告有下列情形之一的，为虚假广告：</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（一）商品或者服务不存在的；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二）商品的性能、功能、产地、用途、质量、规格、成分、价格、生产者、有效期限、销售状况、曾获荣誉等信息，或者服务的内容、提供者、形式、质量、价格、销售状况、曾获荣誉等信息，以及与商品或者服务有关的允诺等信息与实际情况不符，对购买行为有实质性影响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（三）使用虚构、伪造或者无法验证的科研成果、统计资料、调查结果、文摘、引用语等信息作证明材料的；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（四）虚构使用商品或者接受服务的效果的；</w:t>
            </w:r>
            <w:r>
              <w:rPr>
                <w:rStyle w:val="13"/>
                <w:rFonts w:hint="eastAsia" w:ascii="仿宋_GB2312" w:hAnsi="仿宋_GB2312" w:eastAsia="仿宋_GB2312" w:cs="仿宋_GB2312"/>
                <w:sz w:val="24"/>
                <w:szCs w:val="24"/>
              </w:rPr>
              <w:br w:type="textWrapping"/>
            </w:r>
            <w:r>
              <w:rPr>
                <w:rStyle w:val="13"/>
                <w:rFonts w:hint="eastAsia" w:ascii="仿宋_GB2312" w:hAnsi="仿宋_GB2312" w:eastAsia="仿宋_GB2312" w:cs="仿宋_GB2312"/>
                <w:sz w:val="24"/>
                <w:szCs w:val="24"/>
              </w:rPr>
              <w:t>　　（五）以虚假或者引人误解的内容欺骗、误导消费者的其他情形。</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《中华人民共和国广告法》</w:t>
            </w:r>
            <w:r>
              <w:rPr>
                <w:rStyle w:val="13"/>
                <w:rFonts w:hint="eastAsia" w:ascii="仿宋_GB2312" w:hAnsi="仿宋_GB2312" w:eastAsia="仿宋_GB2312" w:cs="仿宋_GB2312"/>
                <w:sz w:val="24"/>
                <w:szCs w:val="24"/>
              </w:rPr>
              <w:t>第五十五条第三款广告经营者、广告发布者明知或者应知广告虚假仍设计、制作、代理、发布的，由工商行政管理部门没收广告费用，并处广告费用三倍以上五倍以下的罚款，广告费用无法计算或者明显偏低的，处二十万元以上一百万元以下的罚款；两年内有三次以上违法行为或者有其他严重情节的，处广告费用五倍以上十倍以下的罚款，广告费用无法计算或者明显偏低的，处一百万元以上二百万元以下的罚款，并可以由有关部门暂停广告发布业务、吊销营业执照、吊销广告发布登记证件。</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18</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对法律、行政法规规定广告中应当明示的内容，未显著、清晰表示的行为的行政处罚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《中华人民共和国广告法》</w:t>
            </w:r>
            <w:r>
              <w:rPr>
                <w:rStyle w:val="13"/>
                <w:rFonts w:hint="eastAsia" w:ascii="仿宋_GB2312" w:hAnsi="仿宋_GB2312" w:eastAsia="仿宋_GB2312" w:cs="仿宋_GB2312"/>
                <w:sz w:val="24"/>
                <w:szCs w:val="24"/>
              </w:rPr>
              <w:t>第八条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广告中对商品的性能、功能、产地、用途、质量、成分、价格、生产者、有效期限、允诺等或者对服务的内容、提供者、形式、质量、价格、允诺等有表示的，应当准确、清楚、明白。</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《中华人民共和国广告法》</w:t>
            </w:r>
            <w:r>
              <w:rPr>
                <w:rStyle w:val="13"/>
                <w:rFonts w:hint="eastAsia" w:ascii="仿宋_GB2312" w:hAnsi="仿宋_GB2312" w:eastAsia="仿宋_GB2312" w:cs="仿宋_GB2312"/>
                <w:sz w:val="24"/>
                <w:szCs w:val="24"/>
              </w:rPr>
              <w:t>第五十九条　有下列行为之一的，由工商行政管理部门责令停止发布广告，对广告主处十万元以下的罚款：（一）广告内容违反本法第八条规定的；</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19</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对大众传播媒介以新闻报道形式变相发布广告的行为的行政处罚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《中华人民共和国广告法》</w:t>
            </w:r>
            <w:r>
              <w:rPr>
                <w:rStyle w:val="13"/>
                <w:rFonts w:hint="eastAsia" w:ascii="仿宋_GB2312" w:hAnsi="仿宋_GB2312" w:eastAsia="仿宋_GB2312" w:cs="仿宋_GB2312"/>
                <w:sz w:val="24"/>
                <w:szCs w:val="24"/>
              </w:rPr>
              <w:t>第十四条第二款</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大众传播媒介不得以新闻报道形式变相发布广告。通过大众传播媒介发布的广告应当显著标明“广告”，与其他非广告信息相区别，不得使消费者产生误解。</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《中华人民共和国广告法》</w:t>
            </w:r>
            <w:r>
              <w:rPr>
                <w:rStyle w:val="13"/>
                <w:rFonts w:hint="eastAsia" w:ascii="仿宋_GB2312" w:hAnsi="仿宋_GB2312" w:eastAsia="仿宋_GB2312" w:cs="仿宋_GB2312"/>
                <w:sz w:val="24"/>
                <w:szCs w:val="24"/>
              </w:rPr>
              <w:t>第五十九条第三款广告违反本法第十四条规定，不具有可识别性的，或者违反本法第十九条规定，变相发布医疗、药品、医疗器械、保健食品广告的，由市场监督管理部门责令改正，对广告发布者处十万元以下的罚款。</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20</w:t>
            </w:r>
          </w:p>
        </w:tc>
        <w:tc>
          <w:tcPr>
            <w:tcW w:w="848"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对违反《药品、医疗器械、保健食品、特殊医学用途配方食品广告审查管理暂行办法》第十条规定，未显著、清晰表示广告中应当显著标明内容的行为的行政处罚</w:t>
            </w:r>
          </w:p>
        </w:tc>
        <w:tc>
          <w:tcPr>
            <w:tcW w:w="143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初次违法，且存在以下一种情形的：1.积极配合市场监管部门调查，如实供述违法事实并主动提交证据材料的；2.违法行为轻微的；3.主动停止违法行为的；4.及时改正的；5.在共同违法行为中起次要或者辅助作用的；6.尚未完全丧失辨认或者控制自己行为能力的精神病人、智力残疾人有违法行为的；7.当事人因残疾或重大疾病等原因生活确有困难的。</w:t>
            </w:r>
          </w:p>
        </w:tc>
        <w:tc>
          <w:tcPr>
            <w:tcW w:w="1950"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《中华人民共和国广告法》</w:t>
            </w:r>
            <w:r>
              <w:rPr>
                <w:rStyle w:val="13"/>
                <w:rFonts w:hint="eastAsia" w:ascii="仿宋_GB2312" w:hAnsi="仿宋_GB2312" w:eastAsia="仿宋_GB2312" w:cs="仿宋_GB2312"/>
                <w:sz w:val="24"/>
                <w:szCs w:val="24"/>
              </w:rPr>
              <w:t>第五十九条　有下列行为之一的，由工商行政管理部门责令停止发布广告，对广告主处十万元以下的罚款：　（一）广告内容违反本法第八条规定的；</w:t>
            </w:r>
            <w:r>
              <w:rPr>
                <w:rStyle w:val="15"/>
                <w:rFonts w:hint="eastAsia" w:ascii="仿宋_GB2312" w:hAnsi="仿宋_GB2312" w:eastAsia="仿宋_GB2312" w:cs="仿宋_GB2312"/>
                <w:color w:val="auto"/>
                <w:sz w:val="24"/>
                <w:szCs w:val="24"/>
              </w:rPr>
              <w:br w:type="textWrapping"/>
            </w:r>
            <w:r>
              <w:rPr>
                <w:rStyle w:val="15"/>
                <w:rFonts w:hint="eastAsia" w:ascii="仿宋_GB2312" w:hAnsi="仿宋_GB2312" w:eastAsia="仿宋_GB2312" w:cs="仿宋_GB2312"/>
                <w:b/>
                <w:color w:val="auto"/>
                <w:sz w:val="24"/>
                <w:szCs w:val="24"/>
              </w:rPr>
              <w:t>【法律】</w:t>
            </w:r>
            <w:r>
              <w:rPr>
                <w:rStyle w:val="15"/>
                <w:rFonts w:hint="eastAsia" w:ascii="仿宋_GB2312" w:hAnsi="仿宋_GB2312" w:eastAsia="仿宋_GB2312" w:cs="仿宋_GB2312"/>
                <w:color w:val="auto"/>
                <w:sz w:val="24"/>
                <w:szCs w:val="24"/>
              </w:rPr>
              <w:t>《中华人民共和国广告法》第八条广告中对商品的性能、功能、产地、用途、质量、成分、价格、生产者、有效期限、允诺等或者对服务的内容、提供者、形式、质量、价格、允诺等有表示的，应当准确、清楚、明白。广告中表明推销的商品或者服务附带赠送的，应当明示所附带赠送商品或者服务的品种、规格、数量、期限和方式。法律、行政法规规定广告中应当明示的内容，应当显著、清晰表示。</w:t>
            </w:r>
            <w:r>
              <w:rPr>
                <w:rStyle w:val="15"/>
                <w:rFonts w:hint="eastAsia" w:ascii="仿宋_GB2312" w:hAnsi="仿宋_GB2312" w:eastAsia="仿宋_GB2312" w:cs="仿宋_GB2312"/>
                <w:color w:val="auto"/>
                <w:sz w:val="24"/>
                <w:szCs w:val="24"/>
              </w:rPr>
              <w:br w:type="textWrapping"/>
            </w:r>
            <w:r>
              <w:rPr>
                <w:rStyle w:val="15"/>
                <w:rFonts w:hint="eastAsia" w:ascii="仿宋_GB2312" w:hAnsi="仿宋_GB2312" w:eastAsia="仿宋_GB2312" w:cs="仿宋_GB2312"/>
                <w:b/>
                <w:color w:val="auto"/>
                <w:sz w:val="24"/>
                <w:szCs w:val="24"/>
              </w:rPr>
              <w:t>【部门规章】</w:t>
            </w:r>
            <w:r>
              <w:rPr>
                <w:rStyle w:val="13"/>
                <w:rFonts w:hint="eastAsia" w:ascii="仿宋_GB2312" w:hAnsi="仿宋_GB2312" w:eastAsia="仿宋_GB2312" w:cs="仿宋_GB2312"/>
                <w:sz w:val="24"/>
                <w:szCs w:val="24"/>
              </w:rPr>
              <w:t>《药品、医疗器械、保健食品、特殊医学用途配方食品广告审查管理暂行办法》第十条药品、医疗器械、保健食品和特殊医疗用途配方食品应当在广告中显著标识，其字体和颜色必须清晰可见、易于识别，并应当在视频广告中连续展示。</w:t>
            </w:r>
            <w:r>
              <w:rPr>
                <w:rStyle w:val="13"/>
                <w:rFonts w:hint="eastAsia" w:ascii="仿宋_GB2312" w:hAnsi="仿宋_GB2312" w:eastAsia="仿宋_GB2312" w:cs="仿宋_GB2312"/>
                <w:sz w:val="24"/>
                <w:szCs w:val="24"/>
              </w:rPr>
              <w:br w:type="textWrapping"/>
            </w:r>
            <w:r>
              <w:rPr>
                <w:rStyle w:val="15"/>
                <w:rFonts w:hint="eastAsia" w:ascii="仿宋_GB2312" w:hAnsi="仿宋_GB2312" w:eastAsia="仿宋_GB2312" w:cs="仿宋_GB2312"/>
                <w:b/>
                <w:color w:val="auto"/>
                <w:sz w:val="24"/>
                <w:szCs w:val="24"/>
              </w:rPr>
              <w:t>【部门规章】</w:t>
            </w:r>
            <w:r>
              <w:rPr>
                <w:rStyle w:val="13"/>
                <w:rFonts w:hint="eastAsia" w:ascii="仿宋_GB2312" w:hAnsi="仿宋_GB2312" w:eastAsia="仿宋_GB2312" w:cs="仿宋_GB2312"/>
                <w:sz w:val="24"/>
                <w:szCs w:val="24"/>
              </w:rPr>
              <w:t>《药品、医疗器械、保健食品、特殊医学用途配方食品广告审查管理暂行办法》第二十五条</w:t>
            </w:r>
            <w:r>
              <w:rPr>
                <w:rStyle w:val="14"/>
                <w:rFonts w:hint="eastAsia" w:ascii="仿宋_GB2312" w:hAnsi="仿宋_GB2312" w:eastAsia="仿宋_GB2312" w:cs="仿宋_GB2312"/>
                <w:sz w:val="24"/>
                <w:szCs w:val="24"/>
              </w:rPr>
              <w:t> </w:t>
            </w:r>
            <w:r>
              <w:rPr>
                <w:rStyle w:val="13"/>
                <w:rFonts w:hint="eastAsia" w:ascii="仿宋_GB2312" w:hAnsi="仿宋_GB2312" w:eastAsia="仿宋_GB2312" w:cs="仿宋_GB2312"/>
                <w:sz w:val="24"/>
                <w:szCs w:val="24"/>
              </w:rPr>
              <w:t>违反本办法第十条规定，未在广告中明确标明应当标明的内容的，依照《中华人民共和国广告法》第五十九条的规定处罚。</w:t>
            </w:r>
          </w:p>
        </w:tc>
        <w:tc>
          <w:tcPr>
            <w:tcW w:w="506" w:type="pct"/>
            <w:gridSpan w:val="2"/>
            <w:vAlign w:val="center"/>
          </w:tcPr>
          <w:p>
            <w:pPr>
              <w:widowControl/>
              <w:jc w:val="left"/>
              <w:textAlignment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运用说服教育、劝导示范、警示告诫、指导约谈等柔性执法方式督促当事人自觉守法，责令改正，及时复查整改情况。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jc w:val="center"/>
              <w:rPr>
                <w:rFonts w:hint="eastAsia" w:ascii="仿宋_GB2312" w:hAnsi="仿宋_GB2312" w:eastAsia="仿宋_GB2312" w:cs="仿宋_GB2312"/>
                <w:b/>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sz w:val="40"/>
                <w:szCs w:val="40"/>
              </w:rPr>
              <w:t>应急管理局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p>
        </w:tc>
        <w:tc>
          <w:tcPr>
            <w:tcW w:w="848"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生产经营单位未向从业人员通报事故隐患排查治理情况的</w:t>
            </w:r>
          </w:p>
        </w:tc>
        <w:tc>
          <w:tcPr>
            <w:tcW w:w="1436"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非高危生产经营单位有证据证明开展了隐患排查治理工作,但未向从业人员通报(重大事故隐患除外),属于首次被发现,且责令改正后能及时纠正,没有造成危害后果的。</w:t>
            </w:r>
          </w:p>
        </w:tc>
        <w:tc>
          <w:tcPr>
            <w:tcW w:w="1950"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《中华人民共和国行政处罚法》（2021年修订）第三十二条　当事人有下列情形之一，应当从轻或者减轻行政处罚：（一）主动消除或者减轻违法行为危害后果的。</w:t>
            </w:r>
          </w:p>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安全生产法》（2021年修改）第四十一条第二款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安全生产法》（2021年修改）第九十七条第（五）项生产经营单位有下列行为之一的,责令限期改正,可以处十万元以下的罚款;逾期未改正的,责令停产停业整顿,并处十万元以上二十万元以下的罚款,对其直接负责的主管人员和其他直接责任人员处二万元以上五万元以下的罚款:</w:t>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(五)未将事故隐患排查治理情况如实记录或者未向从业人员通报的。</w:t>
            </w:r>
          </w:p>
        </w:tc>
        <w:tc>
          <w:tcPr>
            <w:tcW w:w="506" w:type="pct"/>
            <w:gridSpan w:val="2"/>
            <w:vAlign w:val="center"/>
          </w:tcPr>
          <w:p>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谈话提醒，从轻处罚，整改回访督促。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2</w:t>
            </w:r>
          </w:p>
        </w:tc>
        <w:tc>
          <w:tcPr>
            <w:tcW w:w="848" w:type="pct"/>
            <w:gridSpan w:val="2"/>
            <w:vAlign w:val="center"/>
          </w:tcPr>
          <w:p>
            <w:pPr>
              <w:pStyle w:val="2"/>
              <w:spacing w:after="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生产经营单位未如实记录安全生产教育和培训情况</w:t>
            </w:r>
          </w:p>
        </w:tc>
        <w:tc>
          <w:tcPr>
            <w:tcW w:w="1436"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生产经营单位建立了员工安全生产教育和培训档案，员工上岗前经过了厂（矿）、车间（工段、区、队）、班组三级安全培训教育，首次发现因判分错误导致未如实记录安全教育和培训情况的，且严格按照标准判分后，分数仍够及格的。</w:t>
            </w:r>
          </w:p>
        </w:tc>
        <w:tc>
          <w:tcPr>
            <w:tcW w:w="1950"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《中华人民共和国行政处罚法》（2021年修订）第三十二条　当事人有下列情形之一，应当从轻或者减轻行政处罚：（一）主动消除或者减轻违法行为危害后果的。</w:t>
            </w:r>
          </w:p>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《中华人民共和国安全生产法》（2021年修改）第二十八条第四款生产经营单位应当建立安全生产教育和培训档案，如实记录安全生产教育和培训的时间、内容、参加人员以及考核结果等情况。</w:t>
            </w:r>
          </w:p>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安全生产法》（2021年修改）第九十七条第（四）项生产经营单位有下列行为之一的,责令限期改正,可以处十万元以下的罚款;逾期未改正的,责令停产停业整顿,并处十万元以上二十万元以下的罚款,对其直接负责的主管人员和其他直接责任人员处二万元以上五万元以下的罚款:</w:t>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（四）未如实记录安全生产教育和培训情况的。</w:t>
            </w:r>
          </w:p>
        </w:tc>
        <w:tc>
          <w:tcPr>
            <w:tcW w:w="506" w:type="pct"/>
            <w:gridSpan w:val="2"/>
            <w:vAlign w:val="center"/>
          </w:tcPr>
          <w:p>
            <w:pPr>
              <w:jc w:val="left"/>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谈话提醒，从轻处罚，整改回访督促。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3</w:t>
            </w:r>
          </w:p>
        </w:tc>
        <w:tc>
          <w:tcPr>
            <w:tcW w:w="848"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安全评价报告存在法规标准引用错误，但未造成重大损失的</w:t>
            </w:r>
          </w:p>
          <w:p>
            <w:pPr>
              <w:rPr>
                <w:rFonts w:hint="eastAsia" w:ascii="仿宋_GB2312" w:hAnsi="仿宋_GB2312" w:eastAsia="仿宋_GB2312" w:cs="仿宋_GB2312"/>
                <w:sz w:val="24"/>
                <w:szCs w:val="24"/>
              </w:rPr>
            </w:pPr>
          </w:p>
        </w:tc>
        <w:tc>
          <w:tcPr>
            <w:tcW w:w="1436"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1.首次发现；</w:t>
            </w:r>
          </w:p>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2.没有造成危害后果；3.安全评价报告存在法规标准引用错误违法行为，但未造成重大损失后果且违法行为机构能在限期内整改的情形。</w:t>
            </w:r>
          </w:p>
        </w:tc>
        <w:tc>
          <w:tcPr>
            <w:tcW w:w="1950"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【法律】</w:t>
            </w:r>
            <w:r>
              <w:rPr>
                <w:rFonts w:hint="eastAsia" w:ascii="仿宋_GB2312" w:hAnsi="仿宋_GB2312" w:eastAsia="仿宋_GB2312" w:cs="仿宋_GB2312"/>
                <w:sz w:val="24"/>
                <w:szCs w:val="24"/>
              </w:rPr>
              <w:t>《中华人民共和国行政处罚法》（2021年修订）第三十二条　当事人有下列情形之一，应当从轻或者减轻行政处罚：（一）主动消除或者减轻违法行为危害后果的。</w:t>
            </w:r>
          </w:p>
          <w:p>
            <w:pPr>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【部门规章】</w:t>
            </w:r>
            <w:r>
              <w:rPr>
                <w:rFonts w:hint="eastAsia" w:ascii="仿宋_GB2312" w:hAnsi="仿宋_GB2312" w:eastAsia="仿宋_GB2312" w:cs="仿宋_GB2312"/>
                <w:sz w:val="24"/>
                <w:szCs w:val="24"/>
              </w:rPr>
              <w:t>《安全评价检测检验机构管理办法》（2019年施行）第二十二条第（五）项安全评价检测检验机构及其从业人员不得有下列行为：（五）出具虚假或者重大疏漏的安全评价、检测检验报告的；</w:t>
            </w:r>
          </w:p>
          <w:p>
            <w:pPr>
              <w:pStyle w:val="2"/>
              <w:spacing w:after="0"/>
              <w:rPr>
                <w:rFonts w:hint="eastAsia" w:ascii="仿宋_GB2312" w:hAnsi="仿宋_GB2312" w:eastAsia="仿宋_GB2312" w:cs="仿宋_GB2312"/>
                <w:sz w:val="24"/>
                <w:szCs w:val="24"/>
              </w:rPr>
            </w:pPr>
            <w:r>
              <w:rPr>
                <w:rFonts w:hint="eastAsia" w:ascii="仿宋_GB2312" w:hAnsi="仿宋_GB2312" w:eastAsia="仿宋_GB2312" w:cs="仿宋_GB2312"/>
                <w:b/>
                <w:sz w:val="24"/>
                <w:szCs w:val="24"/>
              </w:rPr>
              <w:t>【部门规章】</w:t>
            </w:r>
            <w:r>
              <w:rPr>
                <w:rFonts w:hint="eastAsia" w:ascii="仿宋_GB2312" w:hAnsi="仿宋_GB2312" w:eastAsia="仿宋_GB2312" w:cs="仿宋_GB2312"/>
                <w:sz w:val="24"/>
                <w:szCs w:val="24"/>
              </w:rPr>
              <w:t>《安全评价检测检验机构管理办法》（2019年施行）第三十条第（十）项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十）安全评价报告存在法规标准引用错误、关键危险有害因素漏项、重大危险源辨识错误、对策措施建议与存在问题严重不符等重大疏漏，但尚未造成重大损失的。</w:t>
            </w:r>
          </w:p>
        </w:tc>
        <w:tc>
          <w:tcPr>
            <w:tcW w:w="506" w:type="pct"/>
            <w:gridSpan w:val="2"/>
            <w:vAlign w:val="center"/>
          </w:tcPr>
          <w:p>
            <w:pPr>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责令改正或者责令限期改正，给予警告，从轻处罚等。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pStyle w:val="2"/>
              <w:spacing w:after="0"/>
              <w:jc w:val="center"/>
              <w:rPr>
                <w:rFonts w:hint="eastAsia" w:ascii="仿宋_GB2312" w:hAnsi="仿宋_GB2312" w:eastAsia="仿宋_GB2312" w:cs="仿宋_GB2312"/>
                <w:sz w:val="24"/>
                <w:szCs w:val="24"/>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发展和改革委员会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1</w:t>
            </w:r>
          </w:p>
        </w:tc>
        <w:tc>
          <w:tcPr>
            <w:tcW w:w="848" w:type="pct"/>
            <w:gridSpan w:val="2"/>
            <w:vAlign w:val="center"/>
          </w:tcPr>
          <w:p>
            <w:pP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对粮食经营者违反储粮药剂使用管理制度、相关标准和技术规范的处罚</w:t>
            </w:r>
          </w:p>
        </w:tc>
        <w:tc>
          <w:tcPr>
            <w:tcW w:w="1436" w:type="pct"/>
            <w:gridSpan w:val="2"/>
            <w:vAlign w:val="center"/>
          </w:tcPr>
          <w:p>
            <w:pPr>
              <w:jc w:val="left"/>
              <w:rPr>
                <w:rFonts w:hint="eastAsia" w:ascii="仿宋_GB2312" w:hAnsi="仿宋_GB2312" w:eastAsia="仿宋_GB2312" w:cs="仿宋_GB2312"/>
                <w:kern w:val="0"/>
                <w:sz w:val="24"/>
                <w:szCs w:val="24"/>
                <w:shd w:val="clear" w:color="auto" w:fill="FFFFFF"/>
              </w:rPr>
            </w:pPr>
            <w:r>
              <w:rPr>
                <w:rFonts w:hint="eastAsia" w:ascii="仿宋_GB2312" w:hAnsi="仿宋_GB2312" w:eastAsia="仿宋_GB2312" w:cs="仿宋_GB2312"/>
                <w:kern w:val="0"/>
                <w:sz w:val="24"/>
                <w:szCs w:val="24"/>
                <w:shd w:val="clear" w:color="auto" w:fill="FFFFFF"/>
              </w:rPr>
              <w:t>违法行为较轻，未造成不良社会影响</w:t>
            </w:r>
          </w:p>
        </w:tc>
        <w:tc>
          <w:tcPr>
            <w:tcW w:w="1950" w:type="pct"/>
            <w:gridSpan w:val="2"/>
            <w:vAlign w:val="center"/>
          </w:tcPr>
          <w:p>
            <w:pPr>
              <w:widowControl/>
              <w:jc w:val="left"/>
              <w:rPr>
                <w:rFonts w:hint="eastAsia" w:ascii="仿宋_GB2312" w:hAnsi="仿宋_GB2312" w:eastAsia="仿宋_GB2312" w:cs="仿宋_GB2312"/>
                <w:sz w:val="24"/>
                <w:szCs w:val="24"/>
              </w:rPr>
            </w:pPr>
            <w:r>
              <w:rPr>
                <w:rFonts w:hint="eastAsia" w:ascii="仿宋_GB2312" w:hAnsi="仿宋_GB2312" w:eastAsia="仿宋_GB2312" w:cs="仿宋_GB2312"/>
                <w:b/>
                <w:bCs/>
                <w:sz w:val="24"/>
                <w:szCs w:val="24"/>
              </w:rPr>
              <w:t>【行政法规】</w:t>
            </w:r>
            <w:r>
              <w:rPr>
                <w:rFonts w:hint="eastAsia" w:ascii="仿宋_GB2312" w:hAnsi="仿宋_GB2312" w:eastAsia="仿宋_GB2312" w:cs="仿宋_GB2312"/>
                <w:sz w:val="24"/>
                <w:szCs w:val="24"/>
              </w:rPr>
              <w:t>《粮食质量安全监管办法》第四十六条　违反本办法第十六条规定的，由县级以上粮食行政管理部门责令改正，予以警告；警告后仍不改正，可以处以5000元以下的罚款。</w:t>
            </w:r>
          </w:p>
        </w:tc>
        <w:tc>
          <w:tcPr>
            <w:tcW w:w="506" w:type="pct"/>
            <w:gridSpan w:val="2"/>
            <w:vAlign w:val="center"/>
          </w:tcPr>
          <w:p>
            <w:pPr>
              <w:jc w:val="left"/>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jc w:val="center"/>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2</w:t>
            </w:r>
          </w:p>
        </w:tc>
        <w:tc>
          <w:tcPr>
            <w:tcW w:w="848" w:type="pct"/>
            <w:gridSpan w:val="2"/>
            <w:vAlign w:val="center"/>
          </w:tcPr>
          <w:p>
            <w:pPr>
              <w:pStyle w:val="2"/>
              <w:spacing w:after="0"/>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对违反粮食运输中质量安全规定的处罚</w:t>
            </w:r>
          </w:p>
        </w:tc>
        <w:tc>
          <w:tcPr>
            <w:tcW w:w="1436" w:type="pct"/>
            <w:gridSpan w:val="2"/>
            <w:vAlign w:val="center"/>
          </w:tcPr>
          <w:p>
            <w:pPr>
              <w:jc w:val="left"/>
              <w:rPr>
                <w:rFonts w:hint="eastAsia" w:ascii="仿宋_GB2312" w:hAnsi="仿宋_GB2312" w:eastAsia="仿宋_GB2312" w:cs="仿宋_GB2312"/>
                <w:b/>
                <w:bCs/>
                <w:sz w:val="24"/>
                <w:szCs w:val="24"/>
              </w:rPr>
            </w:pPr>
            <w:r>
              <w:rPr>
                <w:rFonts w:hint="eastAsia" w:ascii="仿宋_GB2312" w:hAnsi="仿宋_GB2312" w:eastAsia="仿宋_GB2312" w:cs="仿宋_GB2312"/>
                <w:kern w:val="0"/>
                <w:sz w:val="24"/>
                <w:szCs w:val="24"/>
                <w:shd w:val="clear" w:color="auto" w:fill="FFFFFF"/>
              </w:rPr>
              <w:t>违法行为较轻，未造成不良社会影响</w:t>
            </w:r>
          </w:p>
        </w:tc>
        <w:tc>
          <w:tcPr>
            <w:tcW w:w="1950" w:type="pct"/>
            <w:gridSpan w:val="2"/>
            <w:vAlign w:val="center"/>
          </w:tcPr>
          <w:p>
            <w:pPr>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【行政法规】</w:t>
            </w:r>
            <w:r>
              <w:rPr>
                <w:rFonts w:hint="eastAsia" w:ascii="仿宋_GB2312" w:hAnsi="仿宋_GB2312" w:eastAsia="仿宋_GB2312" w:cs="仿宋_GB2312"/>
                <w:sz w:val="24"/>
                <w:szCs w:val="24"/>
              </w:rPr>
              <w:t>《粮食质量安全监管办法》第四十六条　违反本办法第二十一条规定的，由县级以上粮食行政管理部门责令改正，予以警告；警告后仍不改正，可以处以5000元以下的罚款。</w:t>
            </w:r>
          </w:p>
        </w:tc>
        <w:tc>
          <w:tcPr>
            <w:tcW w:w="506" w:type="pct"/>
            <w:gridSpan w:val="2"/>
            <w:vAlign w:val="center"/>
          </w:tcPr>
          <w:p>
            <w:pPr>
              <w:rPr>
                <w:rFonts w:hint="eastAsia" w:ascii="仿宋_GB2312" w:hAnsi="仿宋_GB2312" w:eastAsia="仿宋_GB2312" w:cs="仿宋_GB2312"/>
                <w:b/>
                <w:bCs/>
                <w:sz w:val="24"/>
                <w:szCs w:val="24"/>
              </w:rPr>
            </w:pPr>
            <w:r>
              <w:rPr>
                <w:rFonts w:hint="eastAsia" w:ascii="仿宋_GB2312" w:hAnsi="仿宋_GB2312" w:eastAsia="仿宋_GB2312" w:cs="仿宋_GB2312"/>
                <w:sz w:val="24"/>
                <w:szCs w:val="24"/>
              </w:rPr>
              <w:t>谈话提醒、回访督查、行政指导、行政告诫等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jc w:val="center"/>
              <w:rPr>
                <w:rFonts w:hint="eastAsia" w:ascii="仿宋_GB2312" w:hAnsi="仿宋_GB2312" w:eastAsia="仿宋_GB2312" w:cs="仿宋_GB2312"/>
                <w:sz w:val="40"/>
                <w:szCs w:val="40"/>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rPr>
              <w:t>自然资源局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对非法占用土地的处罚</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      </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（一）占用建设用地或者未利用地的，经责令在期限内退还非法占用土地恢复土地原貌的；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1.《中华人民共和国土地管理法》（1986年6月通过，2019年8月修正）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七十七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超过批准的数量占用土地，多占的土地以非法占用土地论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第七十九条非法批准、使用的土地应当收回，有关当事人拒不归还的，以非法占用土地论处。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对依法收回国有土地使用权当事人拒不交</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出土地的，临时使用土地期满拒不归还</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的，或者不按照批准的用途使用国有土地</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（一）经责令在限期内交还土地的；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1.《中华人民共和国土地管理法》（1986年6月通过，2019年8月修正）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第八十一条依法收回国有土地使用权当事人拒不交出土地的，临时使用土地期满拒不归还的，或者不按照批准的用途使用国有土地的，由县级以上人民政府自然资源主管部门责令交还土地，处以罚款。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2.《中华人民共和国土地管理法实施条例》（1998年12月国务院令第256号，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2021年7月国务院令第743号第三次修订）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第五十九条依照《土地管理法》第八十一条的规定处以罚款的，罚款额为非法占用土地每平方米100元以上500元以下。</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对在临时使用的土地上修建永久性建筑物</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、构筑物的处罚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（一）涉及土地未耕地以外的其它土地的，在责令期内将建筑物拆除的；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1.《中华人民共和国土地管理法》（1986年6月通过，2019年8月修正）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第五十七条第二款临时使用土地的使用者应当按照临时使用土地合同约定的用途使用土地，并不得修建永久性建筑物。</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2.《中华人民共和国土地管理法实施条例》（1998年12月国务院令第256号，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2021年7月国务院令第743号第三次修订）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五十二条违反《土地管理法》第五十七条的规定，在临时使用的土地上修建永久性建筑物的，由县级以上人民政府自然资源主管部门责令限期拆除，按占用面积处土地复垦费5倍以上10倍以下的罚款；逾期不拆除的，由作出行政决定的机关依法申请人民法院强制执行。</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对违法占用耕地建窑、建坟或者擅自在耕地上建房、挖砂、采石、采矿、取土等，</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破坏种植条件行为中涉及自然资源主管部</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门职责的处罚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（一）占用永久基本农田或者黑土地等耕地以外的耕地，经责令限期改正或者治理，在限期内改正或者治理的；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1.《中华人民共和国土地管理法》（ 1986 年6月通过，2019 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第三十七条第二款禁止占用耕地建窑、建坟或者擅自在耕地上建房、挖砂、采石、采矿、取土等。</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七十五条违反本法规定，占用耕地建窑、建坟或者擅自在耕地上建房、挖砂、采石、采矿、取土等，破坏种植条件的，或者因开发土地造成土地荒漠化、盐渍化的，由县级以上人民政府自然资源主管部门、农业农村主管部门等按照职责责令限期改正或者治理，可以并处罚款；构成犯罪的，依法追究刑事责任。</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2.《中华人民共和国土地管理法实施条例》（1998 年12月国务院令第256号，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2021年7月国务院令第743号第三次修订）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第五十五条依照《土地管理法》第七十五条的规定处以罚款的，罚款额为耕地开垦费的5倍以上10倍以下；破坏黑土地等优质耕地的，从重处罚。</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3.《内蒙古自治区实施&lt;中华人民共和国土地管理法&gt;办法》（2000年10月通过，2022年12月修订）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第六十九条违法占用耕地建窑、建坟或者擅自在耕地上建房、挖砂、采石</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采矿、取土等，破坏种植条件，依法给予罚款处罚的，按照下列标准执行；构成犯罪的，依法追究刑事责任：（一）违法占用永久基本农田或者黑土地等优质耕地以外的耕地的，罚款额为耕地开垦费的五倍以上八倍以下；（二）违法占用永久基本农田或者黑土地等优质耕地的，罚款额为耕地开垦费的八倍以上十倍以下。</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对破坏或者擅自改变基本农田保护区标志</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（一）经责令在期限内恢复原状的；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1.《基本农田保护条例》（1998年12月国务院令第257号，2011年1月国务院令第</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588号修订）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第十一条第二款任何单位和个人不得破坏或者擅自改变基本农田保护区的保护标志。</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第三十二条违反本条例规定，破坏或者擅自改变基本农田保护区标志的，由县级以上地方人民政府土地行政主管部门或者农业行政主管部门责令恢复原状，可以处1000元以下罚款。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对转让房地产时，不符合法律规定的条</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件，非法转让以出让方式取得的土地使用</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权的处罚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（一）违法所得50万元以下，责令改正限期内主动交出违法所得的；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1.《中华人民共和国城市房地产管理法》（1994年7月通过，2019年8月修正）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第三十八条下列房地产，不得转让：（一）以出让方式取得土地使用权</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的，不符合本法第三十九条规定的条件的；（二）司法机关和行政机关依法裁</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定、决定查封或者以其他形式限制房地产权利的；（三）依法收回土地使用权</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的；（四）共有房地产，未经其他共有人书面同意的；（五）权属有争议的；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（六）未依法登记领取权属证书的；（七）法律、行政法规规定禁止转让的其他情形。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九条以出让方式取得土地使用权的，转让房地产时，应当符合下列条件：（一）按照出让合同约定已经支付全部土地使用权出让金，并取得土地使用权证书；（二）按照出让合同约定进行投资开发，属于房屋建设工程的，完成开发投资总额的百分之二十五以上，属于成片开发土地的，形成工业用地或者其他建设用地条件。转让房地产时房屋已经建成的，还应当持有房屋所有权证书。</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第六十六条违反本法第三十九条第一款的规定转让土地使用权的，由县级以上人民政府土地管理部门没收违法所得，可以并处罚款。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2.《城市房地产开发经营管理条例》（1998年7月国务院令第248号，2020年11 </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月国务院令第732号修订）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第三十五条违反本条例规定，擅自转让房地产开发项目的，由县级以上人民政府负责土地管理工作的部门责令停止违法行为，没收违法所得，可以并处违法所得5倍以下的罚款。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7</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对转让房地产时，不符合法律规定的条件，非法转让以划拨方式取得的土地使用</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权的处罚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（一）违法所得50万元以下，责令改正限期内主动交出违法所得的；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1.《中华人民共和国城市房地产管理法》（1994年7月通过，2019年8月修正）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条以划拨方式取得土地使用权的，转让房地产时，应当按照国务院规定，报有批准权的人民政府审批。有批准权的人民政府准予转让的，应当由受让方办理土地使用权出让手续，并依照国家有关规定缴纳土地使用权出让金。</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第六十七条违反本法第四十条第一款的规定转让房地产的，由县级以上人民政府土地管理部门责令缴纳土地使用权出让金，没收违法所得，可以并处罚款。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2.《城市房地产开发经营管理条例》（1998年7月国务院令第248号，2020年11 </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月国务院令第732号修订）</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第三十五条违反本条例规定，擅自转让房地产开发项目的，由县级以上人</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民政府负责土地管理工作的部门责令停止违法行为，没收违法所得，可以并处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违法所得5倍以下的罚款。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8</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对未取得采矿许可证擅自采矿的，擅自进</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入国家规划矿区、对国民经济具有重要价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值的矿区范围采矿的，擅自开采国家规定实行保护性开采的特定矿种的，单位和个人进入他人依法设立的国有矿山企业和其他矿山企业矿区范围内采矿的处罚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（一）非法开采的矿产品价值和违法</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所得10万元以下，经责令停止非法开采行为的；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1.《中华人民共和国矿产资源法》（1986年通过，2009年8月修正）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三十九条违反本法规定，未取得采矿许可证擅自采矿的，擅自进入国家规划矿区、对国民经济具有重要价值的矿区范围采矿的，擅自开采国家规定实行保护性开采的特定矿种的，责令停止开采、赔偿损失，没收采出的矿产品和违法所得，可以并处罚款；拒不停止开采，造成矿产资源破坏的，依照刑法有关规定对直接责任人员追究刑事责任。单位和个人进入他人依法设立的国有矿山企业和其他矿山企业矿区范围内采矿的，依照前款规定处罚。</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2.《中华人民共和国矿产资源法实施细则》（1994 年3月国务院令第152号）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第四十二条依照《矿产资源法》第三十九条、第四十条、第四十二条、第</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十三条、第四十四条规定处以罚款的，分别按照下列规定执行：（一）未取得采矿许可证擅自采矿的，擅自进入国家规划矿区、对国民经济具有重要价值的矿区和他人矿区范围采矿的，擅自开采国家规定实行保护性开采的特定矿种的，处以违法所得50%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9</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对超越批准的矿区范围采矿的处罚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（一）越界开采的矿产品价值和违法所得5万元以下的，经责令退回本矿区范围内开采的；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1.《中华人民共和国矿产资源法》（1986年通过，2009年8月修正）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条超越批准的矿区范围采矿的，责令退回本矿区范围内开采、赔偿损失，没收越界开采的矿产品和违法所得，可以并处罚款；拒不退回本矿区范围内开采，造成矿产资源破坏的，吊销采矿许可证，依照刑法有关规定对直接责任人员追究刑事责任。</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2.《中华人民共和国矿产资源法实施细则》（1994年3月国务院令第152号）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第四十二条依照《矿产资源法》第三十九条、第四十条、第四十二条、第四十三条、第四十四条规定处以罚款的，分别按照下列规定执行：……（二）超越批准的矿区范围采矿的，处以违法所得30%以下的罚款。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3.《矿产资源开采登记管理办法》（1998年2月国务院令第241号）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十七条任何单位和个人未领取采矿许可证擅自采矿的，擅自进入国家规划矿区和对国民经济具有重要价值的矿区范围采矿的，擅自开采国家规定实行保护性开采的特定矿种的，超越批准的矿区范围采矿的，由登记管理机关依照有关法律、行政法规的规定予以处罚。</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3.《内蒙古自治区矿产资源管理条例》（1999年7月通过）</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第四十五条超越批准范围采矿的，责令退回本矿区范围内开采、赔偿损失、没收越界开采的矿产品和违法所得，可以并处10万元以下罚款。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10</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对买卖、出租或者以其他形式转让矿产资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源的处罚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（一）违法所得50万元以下，责令改正限期内主动交出违法所得的；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1.《中华人民共和国矿产资源法》（1986年通过，2009年8月修正）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第四十二条买卖、出租或者以其他形式转让矿产资源的，没收违法所得，处以罚款。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2.《中华人民共和国矿产资源法实施细则》（1994 年3月国务院令第152号）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依照《矿产资源法》第三十九条、第四十条、第四十二条、第四十三条、第四十四条规定处以罚款的，分别按照下列规定执行：……（三）买卖、出租或者以其他形式转让矿产资源的，买卖、出租采矿权的，对卖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出租方、出让方处以违法所得一倍以下的罚款。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3.《内蒙古自治区矿产资源管理条例》（1999年7月通过）</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第四十六条第一款买卖、出租或者以其他形式转让矿产资源的，没收违法所得，并处10万元以下罚款。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11</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对将探矿权、采矿权倒卖牟利，擅自转让</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探矿权、采矿权，以承包等方式擅自将采</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矿权转给他人进行采矿的处罚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（一）违法所得50万元以下，责令改正限期内主动交出违法所得的；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1.《中华人民共和国矿产资源法》（1986年通过，2009年8月修正）</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第四十二条违反本法第六条的规定将探矿权、采矿权倒卖牟利的，吊销勘查许可证、采矿许可证，没收违法所得，处以罚款。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2.《中华人民共和国矿产资源法实施细则》（1994年3月国务院令第152号）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二条依照《矿产资源法》第三十九条、第四十条、第四十二条、第四十三条、第四十四条规定处以罚款的，分别按照下列规定执行：……（三）买卖、出租或者以其他形式转让矿产资源的，买卖、出租采矿权的，对卖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出租方、出让方处以违法所得一倍以下的罚款。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3.《探矿权采矿权转让管理办法》（1998年2月国务院令第242号公布，2014年7 月国务院令第653号修改）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未经审批管理机关批准，擅自转让探矿权、采矿权的，由登记管理机关责令改正，没收违法所得，处10万元以下的罚款；情节严重的，由原发证机关吊销勘查许可证、采矿许可证。</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十五条违反本办法第三条第（二）项的规定，以承包等方式擅自将采矿权转给他人进行采矿的，由县级以上人民政府负责地质矿产管理工作的部门按照国务院地质矿产主管部门规定的权限，责令改正，没收违法所得，处10万元以下的罚款；情节严重的，由原发证机关吊销采矿许可证。</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4.《内蒙古自治区矿产资源管理条例》（1999年7月通过）</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第四十六条第二款将探矿权、采矿权倒卖牟利的，吊销其勘查许可证、采矿许可证，没收违法所得，并处违法所得50%以下的罚款。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四十九条第一款未经批准，擅自出租采矿权的，责令限期改正，没收违法所得，可以并处违法所得50%以下的罚款。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5.《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6.《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12</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对未取得勘查许可证擅自进行勘查工作，</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超越批准的勘查区块范围进行勘查工作的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（一）经责令停止违法行为，情节较轻的；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1.《矿产资源勘查区块登记管理办法》（1998年2月国务院令第240号公布，2014 </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年7月国务院令第653号修改）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二十六条违反本办法规定，未取得勘查许可证擅自进行勘查工作的，超越批准的勘查区块范围进行勘查工作的，由县级以上人民政府负责地质矿产管理工作的部门按照国务院地质矿产主管部门规定的权限，责令停止违法行为，予以警告，可以并处10万元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13</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对未经批准，擅自进行滚动勘探开发、边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探边采或者试采的处罚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（一）未进行实质性采矿，经责令停止违法行为的；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 xml:space="preserve">1.《矿产资源勘查区块登记管理办法》（1998年2月国务院令第240号公布，2014 </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年7月国务院令第653号修改）</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二十七条违反本办法规定，未经批准，擅自进行滚动勘探开发、边探边采或者试采的，由县级以上人民政府负责地质矿产管理工作的部门按照国务院地质矿产主管部门规定的权限，责令停止违法行为，予以警告，没收违法所得，可以并处10万元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14</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对不按照规定提交年度报告、拒绝接受监</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督检查或者弄虚作假的处罚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（一）未造成不良影响，情节轻微的；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1.《矿产资源开采登记管理办法》（1998年2月国务院令第241号）</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十八条不依照本办法规定提交年度报告、拒绝接受监督检查或者弄虚作假的，由县级以上人民政府负责地质矿产管理工作的部门按照国务院地质矿产主管部门规定的权限，责令停止违法行为，予以警告，可以并处5万元以下的罚款；情节严重的，由原发证机关吊销采矿许可证。</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rPr>
                <w:rFonts w:hint="eastAsia" w:ascii="仿宋_GB2312" w:hAnsi="仿宋_GB2312" w:eastAsia="仿宋_GB2312" w:cs="仿宋_GB2312"/>
                <w:color w:val="000000"/>
                <w:kern w:val="0"/>
                <w:sz w:val="24"/>
                <w:szCs w:val="24"/>
              </w:rPr>
            </w:pPr>
          </w:p>
          <w:p>
            <w:pPr>
              <w:widowControl/>
              <w:jc w:val="center"/>
              <w:rPr>
                <w:rFonts w:hint="eastAsia" w:ascii="仿宋_GB2312" w:hAnsi="仿宋_GB2312" w:eastAsia="仿宋_GB2312" w:cs="仿宋_GB2312"/>
                <w:color w:val="000000"/>
                <w:kern w:val="0"/>
                <w:sz w:val="24"/>
                <w:szCs w:val="24"/>
              </w:rPr>
            </w:pPr>
          </w:p>
          <w:p>
            <w:pPr>
              <w:widowControl/>
              <w:jc w:val="center"/>
              <w:rPr>
                <w:rFonts w:hint="eastAsia" w:ascii="仿宋_GB2312" w:hAnsi="仿宋_GB2312" w:eastAsia="仿宋_GB2312" w:cs="仿宋_GB2312"/>
                <w:color w:val="000000"/>
                <w:kern w:val="0"/>
                <w:sz w:val="24"/>
                <w:szCs w:val="24"/>
              </w:rPr>
            </w:pPr>
          </w:p>
          <w:p>
            <w:pPr>
              <w:widowControl/>
              <w:jc w:val="center"/>
              <w:rPr>
                <w:rFonts w:hint="eastAsia" w:ascii="仿宋_GB2312" w:hAnsi="仿宋_GB2312" w:eastAsia="仿宋_GB2312" w:cs="仿宋_GB2312"/>
                <w:color w:val="000000"/>
                <w:kern w:val="0"/>
                <w:sz w:val="24"/>
                <w:szCs w:val="24"/>
              </w:rPr>
            </w:pPr>
          </w:p>
          <w:p>
            <w:pPr>
              <w:widowControl/>
              <w:jc w:val="center"/>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15</w:t>
            </w:r>
          </w:p>
        </w:tc>
        <w:tc>
          <w:tcPr>
            <w:tcW w:w="848" w:type="pct"/>
            <w:gridSpan w:val="2"/>
            <w:vAlign w:val="center"/>
          </w:tcPr>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对未取得采矿许可证，以采矿为目的擅自进行矿山建设的处罚</w:t>
            </w:r>
          </w:p>
          <w:p>
            <w:pPr>
              <w:widowControl/>
              <w:jc w:val="left"/>
              <w:rPr>
                <w:rFonts w:hint="eastAsia" w:ascii="仿宋_GB2312" w:hAnsi="仿宋_GB2312" w:eastAsia="仿宋_GB2312" w:cs="仿宋_GB2312"/>
                <w:color w:val="000000"/>
                <w:kern w:val="0"/>
                <w:sz w:val="24"/>
                <w:szCs w:val="24"/>
              </w:rPr>
            </w:pPr>
          </w:p>
        </w:tc>
        <w:tc>
          <w:tcPr>
            <w:tcW w:w="1436"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（一）违法行为轻微，造成地形地貌轻微破坏的；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（二）受他人胁迫或者诱骗实施违法行为的；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（三）主动供述自然资源主管部门尚未掌握的违法行为的；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（四）配合自然资源主管部门查处违法行为有立功表现的；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（五）行政处罚决定下达前，主动消除或者减轻违法行为危害后果的；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（六）法律、法规、规章规定其他应当从轻或者减轻的情形。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tc>
        <w:tc>
          <w:tcPr>
            <w:tcW w:w="1950" w:type="pct"/>
            <w:gridSpan w:val="2"/>
            <w:vAlign w:val="center"/>
          </w:tcPr>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1.《内蒙古自治区矿产资源管理条例》（1999年7月通过）</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第四十八条未取得采矿许可证，以采矿为目的擅自进行矿山建设的，责令停止施工并恢复地形地貌，可以并处10万元以下的罚款。</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2.《中华人民共和国行政处罚法》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3.《自然资源违法行为立案查处工作规程（试行）》4.3.2有下列情形之一的，应当从轻或者减轻处罚：（1）行政处罚决定下达前，主动消除或者减轻违法行为危害后果的；（2）受他人胁迫或者诱骗实施违法行为的；（3）主动供述自然资源主管部门尚未掌握的违法行为的；（4）配合自然资源主管部门查处违法行为有立功表现的；（5）法律、法规、规章规定其他应当从轻或者减轻的情形。</w:t>
            </w: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tc>
        <w:tc>
          <w:tcPr>
            <w:tcW w:w="506" w:type="pct"/>
            <w:gridSpan w:val="2"/>
            <w:vAlign w:val="center"/>
          </w:tcPr>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p>
          <w:p>
            <w:pPr>
              <w:widowControl/>
              <w:jc w:val="left"/>
              <w:rPr>
                <w:rFonts w:hint="eastAsia" w:ascii="仿宋_GB2312" w:hAnsi="仿宋_GB2312" w:eastAsia="仿宋_GB2312" w:cs="仿宋_GB2312"/>
                <w:color w:val="000000"/>
                <w:kern w:val="0"/>
                <w:sz w:val="24"/>
                <w:szCs w:val="24"/>
              </w:rPr>
            </w:pPr>
            <w:r>
              <w:rPr>
                <w:rFonts w:hint="eastAsia" w:ascii="仿宋_GB2312" w:hAnsi="仿宋_GB2312" w:eastAsia="仿宋_GB2312" w:cs="仿宋_GB2312"/>
                <w:color w:val="000000"/>
                <w:kern w:val="0"/>
                <w:sz w:val="24"/>
                <w:szCs w:val="24"/>
              </w:rPr>
              <w:t>说服教育、回访督促、警告、通报批评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jc w:val="center"/>
              <w:rPr>
                <w:rFonts w:hint="eastAsia" w:ascii="仿宋_GB2312" w:hAnsi="仿宋_GB2312" w:eastAsia="仿宋_GB2312" w:cs="仿宋_GB2312"/>
                <w:b/>
                <w:kern w:val="0"/>
                <w:sz w:val="24"/>
                <w:szCs w:val="24"/>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kern w:val="0"/>
                <w:sz w:val="40"/>
                <w:szCs w:val="40"/>
                <w:shd w:val="clear" w:color="auto" w:fill="FFFFFF"/>
              </w:rPr>
              <w:t>公安局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1</w:t>
            </w:r>
          </w:p>
        </w:tc>
        <w:tc>
          <w:tcPr>
            <w:tcW w:w="848"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违反治安管理的行为</w:t>
            </w:r>
          </w:p>
        </w:tc>
        <w:tc>
          <w:tcPr>
            <w:tcW w:w="1436"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已满十四周岁不满十八周岁的人违反治安管理的</w:t>
            </w:r>
          </w:p>
        </w:tc>
        <w:tc>
          <w:tcPr>
            <w:tcW w:w="1950"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《中华人民共和国治安管理处罚法》第十二条 已满十四周岁不满十八周岁的人违反治安管理的，从轻或者减轻处罚；不满十四周岁的人违反治安管理的，不予处罚，但是应当责令其监护人严加管教。</w:t>
            </w:r>
          </w:p>
        </w:tc>
        <w:tc>
          <w:tcPr>
            <w:tcW w:w="506"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责令其监护人严加管教，说服教育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2</w:t>
            </w:r>
          </w:p>
        </w:tc>
        <w:tc>
          <w:tcPr>
            <w:tcW w:w="848"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违反治安管理的行为</w:t>
            </w:r>
          </w:p>
        </w:tc>
        <w:tc>
          <w:tcPr>
            <w:tcW w:w="1436"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 盲人或者又聋又哑的人违反治安管理的</w:t>
            </w:r>
          </w:p>
        </w:tc>
        <w:tc>
          <w:tcPr>
            <w:tcW w:w="1950"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《中华人民共和国治安管理处罚法》第十四条 盲人或者又聋又哑的人违反治安管理的，可以从轻、减轻或者不予处罚。</w:t>
            </w:r>
          </w:p>
        </w:tc>
        <w:tc>
          <w:tcPr>
            <w:tcW w:w="506" w:type="pct"/>
            <w:gridSpan w:val="2"/>
            <w:vAlign w:val="center"/>
          </w:tcPr>
          <w:p>
            <w:pPr>
              <w:widowControl/>
              <w:jc w:val="left"/>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包容观察、说服教育、谈话提醒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jc w:val="center"/>
              <w:rPr>
                <w:rFonts w:hint="eastAsia" w:ascii="仿宋_GB2312" w:hAnsi="仿宋_GB2312" w:eastAsia="仿宋_GB2312" w:cs="仿宋_GB2312"/>
                <w:b/>
                <w:kern w:val="0"/>
                <w:sz w:val="40"/>
                <w:szCs w:val="40"/>
                <w:shd w:val="clear" w:color="auto" w:fill="FFFFFF"/>
                <w:lang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kern w:val="0"/>
                <w:sz w:val="40"/>
                <w:szCs w:val="40"/>
                <w:shd w:val="clear" w:color="auto" w:fill="FFFFFF"/>
                <w:lang w:eastAsia="zh-CN"/>
              </w:rPr>
              <w:t>农牧水利科技局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61"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9"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3" w:type="pct"/>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1</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 xml:space="preserve"> 当事人已满十四周岁不满十八周岁的未成年人有违法行为的 </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Fonts w:hint="eastAsia" w:ascii="仿宋_GB2312" w:hAnsi="仿宋_GB2312" w:eastAsia="仿宋_GB2312" w:cs="仿宋_GB2312"/>
                <w:b w:val="0"/>
                <w:bCs w:val="0"/>
                <w:i w:val="0"/>
                <w:iCs w:val="0"/>
                <w:color w:val="555555"/>
                <w:kern w:val="0"/>
                <w:sz w:val="24"/>
                <w:szCs w:val="24"/>
                <w:u w:val="none"/>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2.《规范农业行政处罚自由裁量权办法》（中华人民共和国农业农村部公告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第十四条（一）项</w:t>
            </w:r>
            <w:r>
              <w:rPr>
                <w:rFonts w:hint="eastAsia" w:ascii="仿宋_GB2312" w:hAnsi="仿宋_GB2312" w:eastAsia="仿宋_GB2312" w:cs="仿宋_GB2312"/>
                <w:i w:val="0"/>
                <w:iCs w:val="0"/>
                <w:color w:val="555555"/>
                <w:kern w:val="0"/>
                <w:sz w:val="24"/>
                <w:szCs w:val="24"/>
                <w:u w:val="none"/>
                <w:lang w:val="en-US" w:eastAsia="zh-CN" w:bidi="ar"/>
              </w:rPr>
              <w:t xml:space="preserve"> “已满14周岁不满18周岁的公民实施违法行为的农业农村主管部门依法从轻或减轻处罚”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2</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  主动消除或者减轻违法行为危害后果的；</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Fonts w:hint="eastAsia" w:ascii="仿宋_GB2312" w:hAnsi="仿宋_GB2312" w:eastAsia="仿宋_GB2312" w:cs="仿宋_GB2312"/>
                <w:b w:val="0"/>
                <w:bCs w:val="0"/>
                <w:i w:val="0"/>
                <w:iCs w:val="0"/>
                <w:color w:val="555555"/>
                <w:kern w:val="0"/>
                <w:sz w:val="24"/>
                <w:szCs w:val="24"/>
                <w:u w:val="none"/>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2.《规范农业行政处罚自由裁量权办法》（中华人民共和国农业农村部公告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第十四条（二）项</w:t>
            </w:r>
            <w:r>
              <w:rPr>
                <w:rFonts w:hint="eastAsia" w:ascii="仿宋_GB2312" w:hAnsi="仿宋_GB2312" w:eastAsia="仿宋_GB2312" w:cs="仿宋_GB2312"/>
                <w:i w:val="0"/>
                <w:iCs w:val="0"/>
                <w:color w:val="555555"/>
                <w:kern w:val="0"/>
                <w:sz w:val="24"/>
                <w:szCs w:val="24"/>
                <w:u w:val="none"/>
                <w:lang w:val="en-US" w:eastAsia="zh-CN" w:bidi="ar"/>
              </w:rPr>
              <w:t xml:space="preserve"> “主动消除或减轻违法行为的农业农村主管部门依法从轻或减轻处罚”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3</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对违反种子、农药、肥料、农产品质量安全、动物诊疗机构、兽药、饲料、渔业、农业机械等监管领域法律、法规、规章，农业农村部门负责的行政处罚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受他人胁迫或者诱骗实施违法行为的；</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Style w:val="17"/>
                <w:rFonts w:hint="eastAsia" w:ascii="仿宋_GB2312" w:hAnsi="仿宋_GB2312" w:eastAsia="仿宋_GB2312" w:cs="仿宋_GB2312"/>
                <w:sz w:val="24"/>
                <w:szCs w:val="24"/>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2.《规范农业行政处罚自由裁量权办法》（中华人民共和国农业农村部公告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第十四条（三）项</w:t>
            </w:r>
            <w:r>
              <w:rPr>
                <w:rFonts w:hint="eastAsia" w:ascii="仿宋_GB2312" w:hAnsi="仿宋_GB2312" w:eastAsia="仿宋_GB2312" w:cs="仿宋_GB2312"/>
                <w:i w:val="0"/>
                <w:iCs w:val="0"/>
                <w:color w:val="555555"/>
                <w:kern w:val="0"/>
                <w:sz w:val="24"/>
                <w:szCs w:val="24"/>
                <w:u w:val="none"/>
                <w:lang w:val="en-US" w:eastAsia="zh-CN" w:bidi="ar"/>
              </w:rPr>
              <w:t xml:space="preserve"> “受他人胁迫实施违法行为的农业农村主管部门依法从轻或减轻处罚”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4</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对违反种子、农药、肥料、农产品质量安全、动物诊疗机构、兽药、饲料、渔业、农业机械等监管领域法律、法规、规章，农业农村部门负责的行政处罚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  </w:t>
            </w:r>
            <w:r>
              <w:rPr>
                <w:rStyle w:val="18"/>
                <w:rFonts w:hint="eastAsia" w:ascii="仿宋_GB2312" w:hAnsi="仿宋_GB2312" w:eastAsia="仿宋_GB2312" w:cs="仿宋_GB2312"/>
                <w:sz w:val="24"/>
                <w:szCs w:val="24"/>
                <w:lang w:val="en-US" w:eastAsia="zh-CN" w:bidi="ar"/>
              </w:rPr>
              <w:t>主动供述行政机关尚未掌握的违法行为的；</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Style w:val="17"/>
                <w:rFonts w:hint="eastAsia" w:ascii="仿宋_GB2312" w:hAnsi="仿宋_GB2312" w:eastAsia="仿宋_GB2312" w:cs="仿宋_GB2312"/>
                <w:b w:val="0"/>
                <w:bCs w:val="0"/>
                <w:sz w:val="24"/>
                <w:szCs w:val="24"/>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2</w:t>
            </w:r>
            <w:r>
              <w:rPr>
                <w:rStyle w:val="16"/>
                <w:rFonts w:hint="eastAsia" w:ascii="仿宋_GB2312" w:hAnsi="仿宋_GB2312" w:eastAsia="仿宋_GB2312" w:cs="仿宋_GB2312"/>
                <w:b w:val="0"/>
                <w:bCs w:val="0"/>
                <w:sz w:val="24"/>
                <w:szCs w:val="24"/>
                <w:lang w:val="en-US" w:eastAsia="zh-CN" w:bidi="ar"/>
              </w:rPr>
              <w:t>.《规范农业行政处罚自由裁量权办法》（中华人民共和国农业农村部公告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第十四条（七）项</w:t>
            </w:r>
            <w:r>
              <w:rPr>
                <w:rFonts w:hint="eastAsia" w:ascii="仿宋_GB2312" w:hAnsi="仿宋_GB2312" w:eastAsia="仿宋_GB2312" w:cs="仿宋_GB2312"/>
                <w:b w:val="0"/>
                <w:bCs w:val="0"/>
                <w:i w:val="0"/>
                <w:iCs w:val="0"/>
                <w:color w:val="555555"/>
                <w:kern w:val="0"/>
                <w:sz w:val="24"/>
                <w:szCs w:val="24"/>
                <w:u w:val="none"/>
                <w:lang w:val="en-US" w:eastAsia="zh-CN" w:bidi="ar"/>
              </w:rPr>
              <w:t xml:space="preserve"> “</w:t>
            </w:r>
            <w:r>
              <w:rPr>
                <w:rFonts w:hint="eastAsia" w:ascii="仿宋_GB2312" w:hAnsi="仿宋_GB2312" w:eastAsia="仿宋_GB2312" w:cs="仿宋_GB2312"/>
                <w:i w:val="0"/>
                <w:iCs w:val="0"/>
                <w:color w:val="555555"/>
                <w:kern w:val="0"/>
                <w:sz w:val="24"/>
                <w:szCs w:val="24"/>
                <w:u w:val="none"/>
                <w:lang w:val="en-US" w:eastAsia="zh-CN" w:bidi="ar"/>
              </w:rPr>
              <w:t xml:space="preserve">主动投案向行政机关如实交代违法行为的农业农村主管部门依法从轻或减轻处罚”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5</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  </w:t>
            </w:r>
            <w:r>
              <w:rPr>
                <w:rStyle w:val="18"/>
                <w:rFonts w:hint="eastAsia" w:ascii="仿宋_GB2312" w:hAnsi="仿宋_GB2312" w:eastAsia="仿宋_GB2312" w:cs="仿宋_GB2312"/>
                <w:sz w:val="24"/>
                <w:szCs w:val="24"/>
                <w:lang w:val="en-US" w:eastAsia="zh-CN" w:bidi="ar"/>
              </w:rPr>
              <w:t>配合行政机关查处违法行为有立功表现的；</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Style w:val="17"/>
                <w:rFonts w:hint="eastAsia" w:ascii="仿宋_GB2312" w:hAnsi="仿宋_GB2312" w:eastAsia="仿宋_GB2312" w:cs="仿宋_GB2312"/>
                <w:sz w:val="24"/>
                <w:szCs w:val="24"/>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2.《规范农业行政处罚自由裁量权办法》（中华人民共和国农业农村部公告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第十四条（六）项</w:t>
            </w:r>
            <w:r>
              <w:rPr>
                <w:rFonts w:hint="eastAsia" w:ascii="仿宋_GB2312" w:hAnsi="仿宋_GB2312" w:eastAsia="仿宋_GB2312" w:cs="仿宋_GB2312"/>
                <w:b w:val="0"/>
                <w:bCs w:val="0"/>
                <w:i w:val="0"/>
                <w:iCs w:val="0"/>
                <w:color w:val="555555"/>
                <w:kern w:val="0"/>
                <w:sz w:val="24"/>
                <w:szCs w:val="24"/>
                <w:u w:val="none"/>
                <w:lang w:val="en-US" w:eastAsia="zh-CN" w:bidi="ar"/>
              </w:rPr>
              <w:t xml:space="preserve"> </w:t>
            </w:r>
            <w:r>
              <w:rPr>
                <w:rFonts w:hint="eastAsia" w:ascii="仿宋_GB2312" w:hAnsi="仿宋_GB2312" w:eastAsia="仿宋_GB2312" w:cs="仿宋_GB2312"/>
                <w:i w:val="0"/>
                <w:iCs w:val="0"/>
                <w:color w:val="555555"/>
                <w:kern w:val="0"/>
                <w:sz w:val="24"/>
                <w:szCs w:val="24"/>
                <w:u w:val="none"/>
                <w:lang w:val="en-US" w:eastAsia="zh-CN" w:bidi="ar"/>
              </w:rPr>
              <w:t xml:space="preserve">“配合行政机关查处违法行为有立功表现的农业农村主管部门依法从轻或减轻处罚”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6</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555555"/>
                <w:kern w:val="2"/>
                <w:sz w:val="24"/>
                <w:szCs w:val="24"/>
                <w:u w:val="none"/>
                <w:lang w:val="en-US" w:eastAsia="zh-CN" w:bidi="ar-SA"/>
              </w:rPr>
            </w:pPr>
            <w:r>
              <w:rPr>
                <w:rFonts w:hint="eastAsia" w:ascii="仿宋_GB2312" w:hAnsi="仿宋_GB2312" w:eastAsia="仿宋_GB2312" w:cs="仿宋_GB2312"/>
                <w:i w:val="0"/>
                <w:iCs w:val="0"/>
                <w:color w:val="555555"/>
                <w:kern w:val="0"/>
                <w:sz w:val="24"/>
                <w:szCs w:val="24"/>
                <w:u w:val="none"/>
                <w:lang w:val="en-US" w:eastAsia="zh-CN" w:bidi="ar"/>
              </w:rPr>
              <w:t>对违反种子、肥料（复混肥）、农药、渔政、农牧业机械、兽 医兽药、畜禽屠宰、种畜禽、生鲜乳、饲料和饲料添加剂、动物 卫生、植物检疫、农畜产品质量安全、农牧业转基因安全、农牧 业新品种保护、科技、水资源、河道水域、水工程、水土保持等监管领域法律、法规、规章等农牧水利科技部门负责的行政处罚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2"/>
                <w:sz w:val="24"/>
                <w:szCs w:val="24"/>
                <w:u w:val="none"/>
                <w:lang w:val="en-US" w:eastAsia="zh-CN" w:bidi="ar-SA"/>
              </w:rPr>
            </w:pPr>
            <w:r>
              <w:rPr>
                <w:rFonts w:hint="eastAsia" w:ascii="仿宋_GB2312" w:hAnsi="仿宋_GB2312" w:eastAsia="仿宋_GB2312" w:cs="仿宋_GB2312"/>
                <w:i w:val="0"/>
                <w:iCs w:val="0"/>
                <w:color w:val="333333"/>
                <w:kern w:val="0"/>
                <w:sz w:val="24"/>
                <w:szCs w:val="24"/>
                <w:u w:val="none"/>
                <w:lang w:val="en-US" w:eastAsia="zh-CN" w:bidi="ar"/>
              </w:rPr>
              <w:t>  </w:t>
            </w:r>
            <w:r>
              <w:rPr>
                <w:rStyle w:val="18"/>
                <w:rFonts w:hint="eastAsia" w:ascii="仿宋_GB2312" w:hAnsi="仿宋_GB2312" w:eastAsia="仿宋_GB2312" w:cs="仿宋_GB2312"/>
                <w:sz w:val="24"/>
                <w:szCs w:val="24"/>
                <w:lang w:val="en-US" w:eastAsia="zh-CN" w:bidi="ar"/>
              </w:rPr>
              <w:t>法律、法规、规章规定其他应当从轻或者减轻行政处罚的。</w:t>
            </w:r>
          </w:p>
        </w:tc>
        <w:tc>
          <w:tcPr>
            <w:tcW w:w="1950"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b/>
                <w:bCs/>
                <w:i w:val="0"/>
                <w:iCs w:val="0"/>
                <w:color w:val="555555"/>
                <w:kern w:val="2"/>
                <w:sz w:val="24"/>
                <w:szCs w:val="24"/>
                <w:u w:val="none"/>
                <w:lang w:val="en-US" w:eastAsia="zh-CN" w:bidi="ar-SA"/>
              </w:rPr>
            </w:pPr>
            <w:r>
              <w:rPr>
                <w:rFonts w:hint="eastAsia" w:ascii="仿宋_GB2312" w:hAnsi="仿宋_GB2312" w:eastAsia="仿宋_GB2312" w:cs="仿宋_GB2312"/>
                <w:b w:val="0"/>
                <w:bCs w:val="0"/>
                <w:i w:val="0"/>
                <w:iCs w:val="0"/>
                <w:color w:val="555555"/>
                <w:kern w:val="0"/>
                <w:sz w:val="24"/>
                <w:szCs w:val="24"/>
                <w:u w:val="none"/>
                <w:lang w:val="en-US" w:eastAsia="zh-CN" w:bidi="ar"/>
              </w:rPr>
              <w:t>1.《中华人民共和国行政处罚法》（1996年3月通过，2021年1月修订）</w:t>
            </w:r>
            <w:r>
              <w:rPr>
                <w:rFonts w:hint="eastAsia" w:ascii="仿宋_GB2312" w:hAnsi="仿宋_GB2312" w:eastAsia="仿宋_GB2312" w:cs="仿宋_GB2312"/>
                <w:b w:val="0"/>
                <w:bCs w:val="0"/>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第三十条</w:t>
            </w:r>
            <w:r>
              <w:rPr>
                <w:rStyle w:val="17"/>
                <w:rFonts w:hint="eastAsia" w:ascii="仿宋_GB2312" w:hAnsi="仿宋_GB2312" w:eastAsia="仿宋_GB2312" w:cs="仿宋_GB2312"/>
                <w:b w:val="0"/>
                <w:bCs w:val="0"/>
                <w:sz w:val="24"/>
                <w:szCs w:val="24"/>
                <w:lang w:val="en-US" w:eastAsia="zh-CN" w:bidi="ar"/>
              </w:rPr>
              <w:t> </w:t>
            </w:r>
            <w:r>
              <w:rPr>
                <w:rFonts w:hint="eastAsia" w:ascii="仿宋_GB2312" w:hAnsi="仿宋_GB2312" w:eastAsia="仿宋_GB2312" w:cs="仿宋_GB2312"/>
                <w:i w:val="0"/>
                <w:iCs w:val="0"/>
                <w:color w:val="555555"/>
                <w:kern w:val="0"/>
                <w:sz w:val="24"/>
                <w:szCs w:val="24"/>
                <w:u w:val="none"/>
                <w:lang w:val="en-US" w:eastAsia="zh-CN" w:bidi="ar"/>
              </w:rPr>
              <w:t xml:space="preserve">不满十四周岁的未成年人有违法行为的，不予行政处罚，责令监护人加以管教；已满十四周岁不满十八周岁的未成年人有违法行为的，应当从轻或者减轻行政处罚。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b w:val="0"/>
                <w:bCs w:val="0"/>
                <w:sz w:val="24"/>
                <w:szCs w:val="24"/>
                <w:lang w:val="en-US" w:eastAsia="zh-CN" w:bidi="ar"/>
              </w:rPr>
              <w:t>2.《规范农业行政处罚自由裁量权办法》（中华人民共和国农业农村部公告 第180号）第十一条</w:t>
            </w:r>
            <w:r>
              <w:rPr>
                <w:rFonts w:hint="eastAsia" w:ascii="仿宋_GB2312" w:hAnsi="仿宋_GB2312" w:eastAsia="仿宋_GB2312" w:cs="仿宋_GB2312"/>
                <w:i w:val="0"/>
                <w:iCs w:val="0"/>
                <w:color w:val="555555"/>
                <w:kern w:val="0"/>
                <w:sz w:val="24"/>
                <w:szCs w:val="24"/>
                <w:u w:val="none"/>
                <w:lang w:val="en-US" w:eastAsia="zh-CN" w:bidi="ar"/>
              </w:rPr>
              <w:t>“法律、法规、规章设定的罚款数额有一定幅度的，在相应的幅度范围内分为从重处罚、一般处罚、从轻处罚。除法律、法规、规章另有规定外，罚款处罚的数额按照以下标准确定：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（一）罚款为一定幅度的数额，并同时规定了最低罚款数额和最高罚款数额的，从轻处罚应低于最高罚款数额与最低罚款数额的中间值，从重处罚应高于中间值；</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二）只规定了最高罚款数额未规定最低罚款数额的，从轻处罚一般按最高罚款数额的百分之三十以下确定，一般处罚按最高罚款数额的百分之三十以上百分之六十以下确定，从重处罚应高于最高罚款数额的百分之六十；</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（三）罚款为一定金额的倍数，并同时规定了最低罚款倍数和最高罚款倍数的，从轻处罚应低于最低罚款倍数和最高罚款倍数的中间倍数，从重处罚应高于中间倍数；</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四）只规定最高罚款倍数未规定最低罚款倍数的，从轻处罚一般按最高罚款倍数的百分之三十以下确定，一般处罚按最高罚款倍数的百分之三十以上百分之六十以下确定，从重处罚应高于最高罚款倍数的百分之六十。” </w:t>
            </w:r>
            <w:r>
              <w:rPr>
                <w:rFonts w:hint="eastAsia" w:ascii="仿宋_GB2312" w:hAnsi="仿宋_GB2312" w:eastAsia="仿宋_GB2312" w:cs="仿宋_GB2312"/>
                <w:i w:val="0"/>
                <w:iCs w:val="0"/>
                <w:color w:val="555555"/>
                <w:kern w:val="0"/>
                <w:sz w:val="24"/>
                <w:szCs w:val="24"/>
                <w:u w:val="none"/>
                <w:lang w:val="en-US" w:eastAsia="zh-CN" w:bidi="ar"/>
              </w:rPr>
              <w:br w:type="textWrapping"/>
            </w:r>
            <w:r>
              <w:rPr>
                <w:rStyle w:val="16"/>
                <w:rFonts w:hint="eastAsia" w:ascii="仿宋_GB2312" w:hAnsi="仿宋_GB2312" w:eastAsia="仿宋_GB2312" w:cs="仿宋_GB2312"/>
                <w:sz w:val="24"/>
                <w:szCs w:val="24"/>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第十二条第二款</w:t>
            </w:r>
            <w:r>
              <w:rPr>
                <w:rFonts w:hint="eastAsia" w:ascii="仿宋_GB2312" w:hAnsi="仿宋_GB2312" w:eastAsia="仿宋_GB2312" w:cs="仿宋_GB2312"/>
                <w:i w:val="0"/>
                <w:iCs w:val="0"/>
                <w:color w:val="555555"/>
                <w:kern w:val="0"/>
                <w:sz w:val="24"/>
                <w:szCs w:val="24"/>
                <w:u w:val="none"/>
                <w:lang w:val="en-US" w:eastAsia="zh-CN" w:bidi="ar"/>
              </w:rPr>
              <w:t>“同时具有两个以上从轻情节、且不具有从重情节的，应当在违法行为对应的处罚幅度内按最低档次实施处罚。”</w:t>
            </w:r>
            <w:r>
              <w:rPr>
                <w:rFonts w:hint="eastAsia" w:ascii="仿宋_GB2312" w:hAnsi="仿宋_GB2312" w:eastAsia="仿宋_GB2312" w:cs="仿宋_GB2312"/>
                <w:i w:val="0"/>
                <w:iCs w:val="0"/>
                <w:color w:val="555555"/>
                <w:kern w:val="0"/>
                <w:sz w:val="24"/>
                <w:szCs w:val="24"/>
                <w:u w:val="none"/>
                <w:lang w:val="en-US" w:eastAsia="zh-CN" w:bidi="ar"/>
              </w:rPr>
              <w:br w:type="textWrapping"/>
            </w:r>
            <w:r>
              <w:rPr>
                <w:rFonts w:hint="eastAsia" w:ascii="仿宋_GB2312" w:hAnsi="仿宋_GB2312" w:eastAsia="仿宋_GB2312" w:cs="仿宋_GB2312"/>
                <w:i w:val="0"/>
                <w:iCs w:val="0"/>
                <w:color w:val="555555"/>
                <w:kern w:val="0"/>
                <w:sz w:val="24"/>
                <w:szCs w:val="24"/>
                <w:u w:val="none"/>
                <w:lang w:val="en-US" w:eastAsia="zh-CN" w:bidi="ar"/>
              </w:rPr>
              <w:t xml:space="preserve"> </w:t>
            </w:r>
            <w:r>
              <w:rPr>
                <w:rStyle w:val="16"/>
                <w:rFonts w:hint="eastAsia" w:ascii="仿宋_GB2312" w:hAnsi="仿宋_GB2312" w:eastAsia="仿宋_GB2312" w:cs="仿宋_GB2312"/>
                <w:b w:val="0"/>
                <w:bCs w:val="0"/>
                <w:sz w:val="24"/>
                <w:szCs w:val="24"/>
                <w:lang w:val="en-US" w:eastAsia="zh-CN" w:bidi="ar"/>
              </w:rPr>
              <w:t xml:space="preserve">第十四条（四）在共同违法行为中起次要或者辅助作用的；（五）主动中止违法行为的；（八）其他依法应当从轻或减轻处罚 的农业农村主管部门依法从轻或减轻处罚”          </w:t>
            </w:r>
            <w:r>
              <w:rPr>
                <w:rFonts w:hint="eastAsia" w:ascii="仿宋_GB2312" w:hAnsi="仿宋_GB2312" w:eastAsia="仿宋_GB2312" w:cs="仿宋_GB2312"/>
                <w:i w:val="0"/>
                <w:iCs w:val="0"/>
                <w:color w:val="555555"/>
                <w:kern w:val="0"/>
                <w:sz w:val="24"/>
                <w:szCs w:val="24"/>
                <w:u w:val="none"/>
                <w:lang w:val="en-US" w:eastAsia="zh-CN" w:bidi="ar"/>
              </w:rPr>
              <w:t xml:space="preserve">   </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说服教育、谈话提醒、及时回访、复查整改情况、加强行政检查等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pStyle w:val="2"/>
              <w:spacing w:after="0"/>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lang w:eastAsia="zh-CN"/>
              </w:rPr>
              <w:t>统计局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w:t>
            </w:r>
          </w:p>
        </w:tc>
        <w:tc>
          <w:tcPr>
            <w:tcW w:w="848" w:type="pct"/>
            <w:gridSpan w:val="2"/>
            <w:vAlign w:val="center"/>
          </w:tcPr>
          <w:p>
            <w:pPr>
              <w:keepNext w:val="0"/>
              <w:keepLines w:val="0"/>
              <w:widowControl/>
              <w:suppressLineNumbers w:val="0"/>
              <w:spacing w:after="240" w:afterAutospacing="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(一)拒绝提供统计资料或者经催报后仍未按时提供统计资料的</w:t>
            </w:r>
          </w:p>
        </w:tc>
        <w:tc>
          <w:tcPr>
            <w:tcW w:w="1436" w:type="pct"/>
            <w:gridSpan w:val="2"/>
            <w:vMerge w:val="restart"/>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0"/>
                <w:sz w:val="24"/>
                <w:szCs w:val="24"/>
                <w:u w:val="none"/>
                <w:lang w:val="en-US" w:eastAsia="zh-CN" w:bidi="ar"/>
              </w:rPr>
            </w:pPr>
          </w:p>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（一）差错额对本地区、本部门、本单位统计数据影响较小；</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（二）主动坦白统计违法行为，经查证属实且无隐瞒；</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（三）由于有关部门或者人员的原因导致发生统计违法行为，能够提供相关证据并经查证属实；</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（四）其他依法可以从轻处罚的情形。</w:t>
            </w:r>
          </w:p>
        </w:tc>
        <w:tc>
          <w:tcPr>
            <w:tcW w:w="1950" w:type="pct"/>
            <w:gridSpan w:val="2"/>
            <w:vMerge w:val="restart"/>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1.《中华人民共和国行政处罚法》第三十二条规定当事人有下列情形之一，应当从轻或者减轻行政处罚：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2.《中华人民共和国统计法》第四十一条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一)拒绝提供统计资料或者经催报后仍未按时提供统计资料的;(二)提供不真实或者不完整的统计资料的;(三)拒绝答复或者不如实答复统计检查查询书的;(四)拒绝、阻碍统计调查、统计检查的;(五)转移、隐匿、篡改、毁弃或者拒绝提供原始记录和凭证、统计台账、统计调查表及其他相关证明和资料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企业事业单位或者其他组织有前款所列行为之一的，可以并处五万元以下的罚款；情节严重的，并处五万元以上二十万元以下的罚款。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个体工商户有本条第一款所列行为之一的，由县级以上人民政府统计机构责令改正，给予警告，可以并处一万元以下的罚款。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3.《内蒙古自治区统计行政处罚裁量基准（2022版）》第十六条  统计违法行为人有下列情形之一的，可以从轻或者减轻处罚：（一）差错额对本地区、本部门、本单位统计数据影响较小；（二）主动坦白统计违法行为，经查证属实且无隐瞒；（三）由于有关部门或者人员的原因导致发生统计违法行为，能够提供相关证据并经查证属实；（四）其他依法可以从轻或者减轻处罚的情形。</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上述情形不适用于在执法检查过程中存在拒绝、阻碍统计执法检查行为的统计违法行为当事人。</w:t>
            </w:r>
          </w:p>
        </w:tc>
        <w:tc>
          <w:tcPr>
            <w:tcW w:w="506" w:type="pct"/>
            <w:gridSpan w:val="2"/>
            <w:vMerge w:val="restart"/>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(二)提供不真实或者不完整的统计资料的;</w:t>
            </w:r>
          </w:p>
        </w:tc>
        <w:tc>
          <w:tcPr>
            <w:tcW w:w="143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4"/>
                <w:szCs w:val="24"/>
                <w:u w:val="none"/>
                <w:lang w:val="en-US" w:eastAsia="zh-CN" w:bidi="ar"/>
              </w:rPr>
            </w:pPr>
          </w:p>
        </w:tc>
        <w:tc>
          <w:tcPr>
            <w:tcW w:w="1950" w:type="pct"/>
            <w:gridSpan w:val="2"/>
            <w:vMerge w:val="continue"/>
            <w:vAlign w:val="center"/>
          </w:tcPr>
          <w:p>
            <w:pPr>
              <w:keepNext w:val="0"/>
              <w:keepLines w:val="0"/>
              <w:widowControl/>
              <w:suppressLineNumbers w:val="0"/>
              <w:jc w:val="both"/>
              <w:textAlignment w:val="center"/>
              <w:rPr>
                <w:rFonts w:hint="eastAsia" w:ascii="仿宋_GB2312" w:hAnsi="仿宋_GB2312" w:eastAsia="仿宋_GB2312" w:cs="仿宋_GB2312"/>
                <w:b w:val="0"/>
                <w:bCs w:val="0"/>
                <w:i w:val="0"/>
                <w:iCs w:val="0"/>
                <w:color w:val="555555"/>
                <w:kern w:val="0"/>
                <w:sz w:val="24"/>
                <w:szCs w:val="24"/>
                <w:u w:val="none"/>
                <w:lang w:val="en-US" w:eastAsia="zh-CN" w:bidi="ar"/>
              </w:rPr>
            </w:pPr>
          </w:p>
        </w:tc>
        <w:tc>
          <w:tcPr>
            <w:tcW w:w="50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3</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(三)拒绝答复或者不如实答复统计检查查询书的;</w:t>
            </w:r>
          </w:p>
        </w:tc>
        <w:tc>
          <w:tcPr>
            <w:tcW w:w="143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4"/>
                <w:szCs w:val="24"/>
                <w:u w:val="none"/>
                <w:lang w:val="en-US" w:eastAsia="zh-CN" w:bidi="ar"/>
              </w:rPr>
            </w:pPr>
          </w:p>
        </w:tc>
        <w:tc>
          <w:tcPr>
            <w:tcW w:w="1950" w:type="pct"/>
            <w:gridSpan w:val="2"/>
            <w:vMerge w:val="continue"/>
            <w:vAlign w:val="center"/>
          </w:tcPr>
          <w:p>
            <w:pPr>
              <w:keepNext w:val="0"/>
              <w:keepLines w:val="0"/>
              <w:widowControl/>
              <w:suppressLineNumbers w:val="0"/>
              <w:jc w:val="both"/>
              <w:textAlignment w:val="center"/>
              <w:rPr>
                <w:rFonts w:hint="eastAsia" w:ascii="仿宋_GB2312" w:hAnsi="仿宋_GB2312" w:eastAsia="仿宋_GB2312" w:cs="仿宋_GB2312"/>
                <w:b w:val="0"/>
                <w:bCs w:val="0"/>
                <w:i w:val="0"/>
                <w:iCs w:val="0"/>
                <w:color w:val="555555"/>
                <w:kern w:val="0"/>
                <w:sz w:val="24"/>
                <w:szCs w:val="24"/>
                <w:u w:val="none"/>
                <w:lang w:val="en-US" w:eastAsia="zh-CN" w:bidi="ar"/>
              </w:rPr>
            </w:pPr>
          </w:p>
        </w:tc>
        <w:tc>
          <w:tcPr>
            <w:tcW w:w="50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4</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(四)拒绝、阻碍统计调查、统计检查的;</w:t>
            </w:r>
          </w:p>
        </w:tc>
        <w:tc>
          <w:tcPr>
            <w:tcW w:w="143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4"/>
                <w:szCs w:val="24"/>
                <w:u w:val="none"/>
                <w:lang w:val="en-US" w:eastAsia="zh-CN" w:bidi="ar"/>
              </w:rPr>
            </w:pPr>
          </w:p>
        </w:tc>
        <w:tc>
          <w:tcPr>
            <w:tcW w:w="1950" w:type="pct"/>
            <w:gridSpan w:val="2"/>
            <w:vMerge w:val="continue"/>
            <w:vAlign w:val="center"/>
          </w:tcPr>
          <w:p>
            <w:pPr>
              <w:keepNext w:val="0"/>
              <w:keepLines w:val="0"/>
              <w:widowControl/>
              <w:suppressLineNumbers w:val="0"/>
              <w:jc w:val="both"/>
              <w:textAlignment w:val="center"/>
              <w:rPr>
                <w:rFonts w:hint="eastAsia" w:ascii="仿宋_GB2312" w:hAnsi="仿宋_GB2312" w:eastAsia="仿宋_GB2312" w:cs="仿宋_GB2312"/>
                <w:b w:val="0"/>
                <w:bCs w:val="0"/>
                <w:i w:val="0"/>
                <w:iCs w:val="0"/>
                <w:color w:val="555555"/>
                <w:kern w:val="0"/>
                <w:sz w:val="24"/>
                <w:szCs w:val="24"/>
                <w:u w:val="none"/>
                <w:lang w:val="en-US" w:eastAsia="zh-CN" w:bidi="ar"/>
              </w:rPr>
            </w:pPr>
          </w:p>
        </w:tc>
        <w:tc>
          <w:tcPr>
            <w:tcW w:w="50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5</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(五)转移、隐匿、篡改、毁弃或者拒绝提供原始记录和凭证、统计台账、统计调查表及其他相关证明和资料的。</w:t>
            </w:r>
          </w:p>
        </w:tc>
        <w:tc>
          <w:tcPr>
            <w:tcW w:w="143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333333"/>
                <w:kern w:val="0"/>
                <w:sz w:val="24"/>
                <w:szCs w:val="24"/>
                <w:u w:val="none"/>
                <w:lang w:val="en-US" w:eastAsia="zh-CN" w:bidi="ar"/>
              </w:rPr>
            </w:pPr>
          </w:p>
        </w:tc>
        <w:tc>
          <w:tcPr>
            <w:tcW w:w="1950" w:type="pct"/>
            <w:gridSpan w:val="2"/>
            <w:vMerge w:val="continue"/>
            <w:vAlign w:val="center"/>
          </w:tcPr>
          <w:p>
            <w:pPr>
              <w:keepNext w:val="0"/>
              <w:keepLines w:val="0"/>
              <w:widowControl/>
              <w:suppressLineNumbers w:val="0"/>
              <w:jc w:val="both"/>
              <w:textAlignment w:val="center"/>
              <w:rPr>
                <w:rFonts w:hint="eastAsia" w:ascii="仿宋_GB2312" w:hAnsi="仿宋_GB2312" w:eastAsia="仿宋_GB2312" w:cs="仿宋_GB2312"/>
                <w:b w:val="0"/>
                <w:bCs w:val="0"/>
                <w:i w:val="0"/>
                <w:iCs w:val="0"/>
                <w:color w:val="555555"/>
                <w:kern w:val="0"/>
                <w:sz w:val="24"/>
                <w:szCs w:val="24"/>
                <w:u w:val="none"/>
                <w:lang w:val="en-US" w:eastAsia="zh-CN" w:bidi="ar"/>
              </w:rPr>
            </w:pPr>
          </w:p>
        </w:tc>
        <w:tc>
          <w:tcPr>
            <w:tcW w:w="506" w:type="pct"/>
            <w:gridSpan w:val="2"/>
            <w:vMerge w:val="continue"/>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w:t>
            </w:r>
          </w:p>
        </w:tc>
        <w:tc>
          <w:tcPr>
            <w:tcW w:w="848"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作为统计调查对象的国家机关、企业事业单位或者其他组织迟报统计资料，或者未按照国家有关规定设置原始记录、统计台账的。</w:t>
            </w:r>
          </w:p>
        </w:tc>
        <w:tc>
          <w:tcPr>
            <w:tcW w:w="1436" w:type="pct"/>
            <w:gridSpan w:val="2"/>
            <w:vAlign w:val="center"/>
          </w:tcPr>
          <w:p>
            <w:pPr>
              <w:keepNext w:val="0"/>
              <w:keepLines w:val="0"/>
              <w:widowControl/>
              <w:suppressLineNumbers w:val="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（一）主动坦白统计违法行为，经查证属实且无隐瞒；</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（二）由于有关部门或者人员的原因导致发生统计违法行为，能够提供相关证据并经查证属实；</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（三）其他依法可以从轻处罚的情形。</w:t>
            </w:r>
          </w:p>
        </w:tc>
        <w:tc>
          <w:tcPr>
            <w:tcW w:w="1950" w:type="pct"/>
            <w:gridSpan w:val="2"/>
            <w:vAlign w:val="center"/>
          </w:tcPr>
          <w:p>
            <w:pPr>
              <w:keepNext w:val="0"/>
              <w:keepLines w:val="0"/>
              <w:widowControl/>
              <w:suppressLineNumbers w:val="0"/>
              <w:spacing w:after="240" w:afterAutospacing="0"/>
              <w:jc w:val="both"/>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 xml:space="preserve">    1.《中华人民共和国行政处罚法》第三十二条规定当事人有下列情形之一，应当从轻或者减轻行政处罚：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2.《中华人民共和国统计法》第四十一条 作为统计调查对象的国家机关、企业事业单位或者其他组织有下列行为之一的，由县级以上人民政府统计机构责令改正，给予警告，可以予以通报;其直接负责的主管人员和其他直接责任人员属于国家工作人员的，由任免机关或者监察机关依法给予处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一)拒绝提供统计资料或者经催报后仍未按时提供统计资料的;(二)提供不真实或者不完整的统计资料的;(三)拒绝答复或者不如实答复统计检查查询书的;(四)拒绝、阻碍统计调查、统计检查的;(五)转移、隐匿、篡改、毁弃或者拒绝提供原始记录和凭证、统计台账、统计调查表及其他相关证明和资料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企业事业单位或者其他组织有前款所列行为之一的，可以并处五万元以下的罚款；情节严重的，并处五万元以上二十万元以下的罚款。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个体工商户有本条第一款所列行为之一的，由县级以上人民政府统计机构责令改正，给予警告，可以并处一万元以下的罚款。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3.《内蒙古自治区统计行政处罚裁量基准（2022版）》第十六条  统计违法行为人有下列情形之一的，可以从轻或者减轻处罚：（一）差错额对本地区、本部门、本单位统计数据影响较小；（二）主动坦白统计违法行为，经查证属实且无隐瞒；（三）由于有关部门或者人员的原因导致发生统计违法行为，能够提供相关证据并经查证属实；（四）其他依法可以从轻或者减轻处罚的情形。</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    上述情形不适用于在执法检查过程中存在拒绝、阻碍统计执法检查行为的统计违法行为当事人。</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责令整改、说服教育、监管督促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i w:val="0"/>
                <w:iCs w:val="0"/>
                <w:color w:val="000000"/>
                <w:kern w:val="0"/>
                <w:sz w:val="40"/>
                <w:szCs w:val="40"/>
                <w:u w:val="none"/>
                <w:lang w:val="en-US" w:eastAsia="zh-CN" w:bidi="ar"/>
              </w:rPr>
              <w:t>国家税务总局根河市税务局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纳税人未按照规定的期限申报办理税务登记、变更或者注销登记</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一项，纳税人有下列行为之一的，由税务机关责令限期改正，可以处二千元以下的罚款；情节严重的，处二千元以上一万元以下的罚款：（一）未按照规定的期限申报办理税务登记、变更或者注销登记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纳税人未按照规定将其全部银行账号向税务机关报告</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四项，纳税人有下列行为之一的，由税务机关责令限期改正，可以处二千元以下的罚款；情节严重的，处二千元以上一万元以下的罚款：（四）未按照规定将其全部银行账号向税务机关报告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纳税人未按规定使用税务登记证件，或者转借、涂改、损毁、买卖、伪造税务登记证件</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未造成税款流失的，处2000元以上5000元以下的罚款。造成税款流失不满10万元的，处5000元以上1万元以下的罚款。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三款，纳税人未按照规定使用税务登记证件，或者转借、涂改、损毁、买卖、伪造税务登记证件的，处二千元以上一万元以下的罚款；情节严重的，处一万元以上五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纳税人通过提供虚假的证明资料等手段，骗取税务登记证</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未造成税款流失的，处2000元以下的罚款。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务登记管理办法》（国家税务总局令第7号公布，国家税务总局令第36号、第44号、第48号修改）第四十一条，纳税人通过提供虚假的证明资料等手段，骗取税务登记证的，处2000元以下的罚款；情节严重的，处2000元以上1万元以下的罚款。纳税人涉嫌其他违法行为的，按有关法律、行政法规的规定处理。</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5</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扣缴义务人未按照规定办理扣缴税款登记</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200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务登记管理办法》（国家税务总局令第7号公布，国家税务总局令第36号、第44号、第48号修改）第四十二条，扣缴义务人未按照规定办理扣缴税款登记的，税务机关应当自发现之日起3日内责令其限期改正，并可处以1000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6</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银行和其他金融机构未依照规定在从事生产、经营的纳税人的账户中登录税务登记证件号码，或者未按规定在税务登记证件中登录从事生产、经营的纳税人的账户账号</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在税务机关发现前主动改正或者在税务机关责令限期改正的期限内改正的，处2000元以上1万元以下的罚款。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《中华人民共和国税收征收管理法实施细则》第九十二条，银行和其他金融机构未依照</w:t>
            </w:r>
            <w:bookmarkStart w:id="0" w:name="_GoBack"/>
            <w:bookmarkEnd w:id="0"/>
            <w:r>
              <w:rPr>
                <w:rFonts w:hint="eastAsia" w:ascii="仿宋_GB2312" w:hAnsi="仿宋_GB2312" w:eastAsia="仿宋_GB2312" w:cs="仿宋_GB2312"/>
                <w:i w:val="0"/>
                <w:iCs w:val="0"/>
                <w:color w:val="000000"/>
                <w:kern w:val="0"/>
                <w:sz w:val="24"/>
                <w:szCs w:val="24"/>
                <w:u w:val="none"/>
                <w:lang w:val="en-US" w:eastAsia="zh-CN" w:bidi="ar"/>
              </w:rPr>
              <w:t>税收征管法的规定在从事生产、经营的纳税人的账户中登录税务登记证件号码，或者未按规定在税务登记证件中登录从事生产、经营的纳税人的账户账号的，由税务机关责令其限期改正，处2000元以上2万元以下的罚款；情节严重的，处2万元以上5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7</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境内机构或个人发包工程作业或劳务项目，未按规定向主管税务机关报告有关事项</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非居民承包工程作业和提供劳务税收管理暂行办法》（国家税务总局令第19号公布）第三十三条，境内机构或个人发包工程作业或劳务项目，未按本办法第五条、第七条、第八条、第九条规定向主管税务机关报告有关事项的，由税务机关责令限期改正，可以处2000元以下的罚款；情节严重的，处2000元以上1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8</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纳税人未按照规定设置、保管账簿或者保管记账凭证和有关资料</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二项，纳税人有下列行为之一的，由税务机关责令限期改正，可以处二千元以下的罚款；情节严重的，处二千元以上一万元以下的罚款：（二）未按照规定设置、保管账簿或者保管记账凭证和有关资料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9</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纳税人未按照规定将财务、会计制度或者财务、会计处理办法和会计核算软件报送税务机关备查</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三项，纳税人有下列行为之一的，由税务机关责令限期改正，可以处二千元以下的罚款；情节严重的，处二千元以上一万元以下的罚款：（三）未按照规定将财务、会计制度或者财务、会计处理办法和会计核算软件报送税务机关备查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10</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扣缴义务人未按照规定设置、保管代扣代缴、代收代缴税款账簿或者保管代扣代缴、代收代缴税款记账凭证及有关资料</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一条，扣缴义务人未按照规定设置、保管代扣代缴、代收代缴税款账簿或者保管代扣代缴、代收代缴税款记账凭证及有关资料的，由税务机关责令限期改正，可以处二千元以下的罚款；情节严重的，处二千元以上五千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11</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非法印制、转借、倒卖、变造或者伪造完税凭证</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3"/>
                <w:rFonts w:hint="eastAsia" w:ascii="仿宋_GB2312" w:hAnsi="仿宋_GB2312" w:eastAsia="仿宋_GB2312" w:cs="仿宋_GB2312"/>
                <w:sz w:val="24"/>
                <w:szCs w:val="24"/>
                <w:lang w:val="en-US" w:eastAsia="zh-CN" w:bidi="ar"/>
              </w:rPr>
              <w:t xml:space="preserve"> </w:t>
            </w:r>
            <w:r>
              <w:rPr>
                <w:rStyle w:val="19"/>
                <w:rFonts w:hint="eastAsia" w:ascii="仿宋_GB2312" w:hAnsi="仿宋_GB2312" w:eastAsia="仿宋_GB2312" w:cs="仿宋_GB2312"/>
                <w:sz w:val="24"/>
                <w:szCs w:val="24"/>
                <w:lang w:val="en-US" w:eastAsia="zh-CN" w:bidi="ar"/>
              </w:rPr>
              <w:t>非法印制、转借、倒卖、变造或者伪造完税凭证不满25份或者票面金额累计不满10万元的,处2000元以上l万元以下的罚款。非法印制、转借、倒卖、变造或者伪造完税凭证25份以上不满100份或者票面金额累计10万元以上不满40万元的,处l万元以上3万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一条，非法印制、转借、倒卖、变造或者伪造完税凭证的，由税务机关责令改正，处2000元以上1万元以下的罚款；情节严重的，处1万元以上5万元以下的罚款；构成犯罪的，依法追究刑事责任。</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12</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纳税人未按照规定安装、使用税控装置或者损毁或者擅自改动税控装置</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（一）纳税人未按照规定安装、使用税控装置</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在税务机关发现前主动改正或者在税务机关责令限期改正的期限内改正的，对个人处50元以下的罚款，对单位处1000元以下的罚款。（二）纳税人损毁或者擅自改动税控装置。在税务机关发现前主动改正或者在税务机关责令限期改正的期限内改正的，对个人可以处50元以下的罚款，对单位可以处1000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条第一款第五项，纳税人有下列行为之一的，由税务机关责令限期改正，可以处二千元以下的罚款；情节严重的，处二千元以上一万元以下的罚款：（五）未按照规定安装、使用税控装置，或者损毁或者擅自改动税控装置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13</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纳税人未按照规定的期限办理纳税申报和报送纳税资料，或者扣缴义务人未按照规定的期限向税务机关报送代扣代缴、代收代缴税款报告表和有关资料</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逾期90天以下的，对个人处50元以下的罚款，对单位处200元以下的罚款；逾期超过90天且360天以下的，对个人处50元的罚款，对单位处200元的罚款；逾期超过360天的，对个人处50元以上200元以下的罚款，对单位处200元以上1000元以下的罚款。其他未列明情形，按税收征管法有关规定处理。</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二条，纳税人未按照规定的期限办理纳税申报和报送纳税资料的，或者扣缴义务人未按照规定的期限向税务机关报送代扣代缴、代收代缴税款报告表和有关资料的，由税务机关责令限期改正，可以处二千元以下的罚款；情节严重的，可以处二千元以上一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14</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纳税人、扣缴义务人编造虚假计税依据</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编造虚假计税依据金额20万元以下，并在税务机关发现前主动改正或者在税务机关责令限期改正的期限内改正的，对个人处50元以下的罚款，对单位处1000元以下的罚款；在税务机关责令限期改正的期限内未改正的，对个人处50元以上2000元以下的罚款，对单位处1000元以上1万元以下的罚款。编造虚假计税依据金额超过20万元不满50万元的，对个人处50元以上5000元以下的罚款，对单位处1000元以上1万元以下的罚款。编造虚假计税依据金额50万元以上不满100万元的，对个人处5000元以上1万元以下的罚款，对单位处1万元以上3万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《中华人民共和国税收征收管理法》第六十四条第一款，纳税人、扣缴义务人编造虚假计税依据的，由税务机关责令限期改正，并处五万元以下的罚款。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15</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纳税人伪造、变造、隐匿、擅自销毁账簿、记账凭证，或者在账簿上多列支出或者不列、少列收入，或者经税务机关通知申报而拒不申报或者进行虚假的纳税申报，不缴或者少缴应纳税款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五年内首次因偷税被税务机关处罚，并能够配合税务机关检查，且未造成较大不良社会影响的，处不缴或者少缴的税款50%以上1倍以下的罚款。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三条第一款，纳税人伪造、变造、隐匿、擅自销毁账簿、记账凭证，或者在账簿上多列支出或者不列、少列收入，或者经税务机关通知申报而拒不申报或者进行虚假的纳税申报，不缴或者少缴应纳税款的，是偷税。对纳税人偷税的，由税务机关追缴其不缴或者少缴的税款、滞纳金，并处不缴或者少缴的税款百分之五十以上五倍以下的罚款；构成犯罪的，依法追究刑事责任。</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16</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扣缴义务人伪造、变造、隐匿、擅自销毁账簿、记账凭证，或者在账簿上多列支出或者不列、少列收入，或者经税务机关通知申报而拒不申报或者进行虚假的纳税申报，不缴或者少缴已扣、已收税款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五年内首次因偷税被税务机关处罚，并能够配合税务机关检查，且未造成较大不良社会影响的，处不缴或者少缴已扣、已收税款50%以上1倍以下的罚款。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三条第二款，扣缴义务人采取前款所列手段，不缴或者少缴已扣、已收税款，由税务机关追缴其不缴或者少缴的税款、滞纳金，并处不缴或者少缴的税款百分之五十以上五倍以下的罚款；构成犯罪的，依法追究刑事责任。</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17</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纳税人不进行纳税申报，不缴或者少缴应纳税款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能够配合税务机关，且未造成较大不良社会影响的，对个人处不缴或者少缴的税款50%的罚款，对单位处不缴或者少缴的税款50%以上1倍以下的罚款。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四条第二款，纳税人不进行纳税申报，不缴或者少缴应纳税款的，由税务机关追缴其不缴或者少缴的税款、滞纳金，并处不缴或者少缴的税款百分之五十以上五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18</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纳税人欠缴应纳税款，采取转移或者隐匿财产的手段，妨碍税务机关追缴欠缴的税款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妨碍税务机关追缴欠缴税款金额5万元以下的，处欠缴税款50%以上1倍以下的罚款。妨碍税务机关追缴欠缴税款金额超过5万元不满10万元的，处欠缴税款1倍以上2倍以下的罚款。</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五条，纳税人欠缴应纳税款，采取转移或者隐匿财产的手段，妨碍税务机关追缴欠缴的税款的，由税务机关追缴欠缴的税款、滞纳金，并处欠缴税款百分之五十以上五倍以下的罚款；构成犯罪的，依法追究刑事责任。</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19</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以假报出口或者其他欺骗手段，骗取国家出口退税款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骗取国家出口退税款不满5万元的，处骗取税款1倍的罚款，并可以停止为其办理出口退税半年以上1年以下。骗取国家出口退税款5万元以上不满50万元的，处骗取税款1倍以上2倍以下的罚款，并可以停止为其办理出口退税1年以上1年半以下。骗取国家出口退税款50万元以上不满250万元的，或因骗取出口退税行为受过行政处罚、两年内又骗取国家出口退税款数额在30万元以上不满150万元的，处骗取税款2倍以上3倍以下的罚款，并停止为其办理出口退税1年半以上2年以下。</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六条，以假报出口或者其他欺骗手段，骗取国家出口退税款的，由税务机关追缴其骗取的退税款，并处骗取税款一倍以上五倍以下的罚款；构成犯罪的，依法追究刑事责任。对骗取国家出口退税款的，税务机关可以在规定期间内停止为其办理出口退税。</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出口货物劳务增值税和消费税管理办法》（国家税务总局公告2012年第24号发布）第十三条第六项：（六）出口企业和其他单位以假报出口或者其他欺骗手段，骗取国家出口退税款，由主管税务机关追缴其骗取的退税款，并处骗取税款1倍以上5倍以下的罚款；构成犯罪的，依法追究刑事责任。对骗取国家出口退税款的，由省级以上（含本级）税务机关批准，按下列规定停止其出口退（免）税资格：1.骗取国家出口退税款不满5万元的，可以停止为其办理出口退税半年以上1年以下。2.骗取国家出口退税款5万元以上不满50万元的，可以停止为其办理出口退税1年以上1年半以下。3.骗取国家出口退税款50万元以上不满250万元，或因骗取出口退税行为受过行政处罚、2年内又骗取国家出口退税款数额在30万元以上不满150万元的，停止为其办理出口退税1年半以上2年以下。4.骗取国家出口退税款250万元以上，或因骗取出口退税行为受过行政处罚、两年内又骗取国家出口退税款数额在150万元以上的，停止为其办理出口退税两年以上3年以下。5.停止办理出口退税的时间以省级以上（含本级）税务机关批准后作出的《税务行政处罚决定书》的决定之日为起始日。</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20</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以暴力、威胁方法拒不缴纳税款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拒不缴纳税款金额1万元以下，且未造成税务人员人身伤害或者税务机关财产损失的，处拒缴税款1倍以上2倍以下的罚款。拒不缴纳税款金额超过1万元不满5万元，且未造成税务人员人身伤害或者税务机关财产损失的，处拒缴税款2倍以上3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七条，以暴力、威胁方法拒不缴纳税款的，是抗税，除由税务机关追缴其拒缴的税款、滞纳金外，依法追究刑事责任。情节轻微，未构成犯罪的，由税务机关追缴其拒缴的税款、滞纳金，并处拒缴税款一倍以上五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21</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纳税人、扣缴义务人在规定期限内不缴或者少缴应纳或者应解缴的税款，经税务机关责令限期缴纳，逾期仍未缴纳</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首次违反且未造成较大不良社会影响的，可以处不缴或者少缴税款50%以上1倍以下的罚款。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八条，纳税人、扣缴义务人在规定期限内不缴或者少缴应纳或者应解缴的税款，经税务机关责令限期缴纳，逾期仍未缴纳的，税务机关除依照本法第四十条的规定采取强制执行措施追缴其不缴或者少缴的税款外，可以处不缴或者少缴的税款百分之五十以上五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22</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纳税人拒绝代扣、代收税款，扣缴义务人向税务机关报告后，税务机关直接向纳税人追缴税款、滞纳金，纳税人拒绝缴纳</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首次违反且未造成较大不良社会影响的，可以处不缴或者少缴税款50%以上1倍以下的罚款。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八条，纳税人、扣缴义务人在规定期限内不缴或者少缴应纳或者应解缴的税款，经税务机关责令限期缴纳，逾期仍未缴纳的，税务机关除依照本法第四十条的规定采取强制执行措施追缴其不缴或者少缴的税款外，可以处不缴或者少缴的税款百分之五十以上五倍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四条，纳税人拒绝代扣、代收税款的，扣缴义务人应当向税务机关报告，由税务机关直接向纳税人追缴税款、滞纳金；纳税人拒不缴纳的，依照税收征管法第六十八条的规定执行。</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23</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扣缴义务人应扣未扣、应收而不收税款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扣缴义务人积极协助税务机关追回税款或者补扣、补收了税款的，处应扣未扣、应收未收税款50%以上1倍以下的罚款。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《中华人民共和国税收征收管理法》第六十九条，扣缴义务人应扣未扣、应收而不收税款的，由税务机关向纳税人追缴税款，对扣缴义务人处应扣未扣、应收未收税款百分之五十以上三倍以下的罚款。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24</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为纳税人、扣缴义务人非法提供银行账户、发票、证明或者其他方便，导致未缴、少缴税款或者骗取国家出口退税款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导致未缴、少缴或者骗取税款不满5万元的，可以处未缴、少缴或者骗取的税款50%以下的罚款。同时没收其违法所得。</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三条，为纳税人、扣缴义务人非法提供银行账户、发票、证明或者其他方便，导致未缴、少缴税款或者骗取国家出口退税款的，税务机关除没收其违法所得外，可以处未缴、少缴或者骗取的税款1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25</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税务代理人违反税收法律、行政法规，造成纳税人未缴或者少缴税款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造成纳税人未缴或者少缴税款5万元以下的，对税务代理人处纳税人未缴或者少缴税款50%以上1倍以下的罚款。造成纳税人未缴或者少缴税款超过5万元不满50万元的，对税务代理人处纳税人未缴或者少缴税款1倍以上2倍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八条，税务代理人违反税收法律、行政法规，造成纳税人未缴或者少缴税款的，除由纳税人缴纳或者补缴应纳税款、滞纳金外，对税务代理人处纳税人未缴或者少缴税款50％以上3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26</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纳税人、扣缴义务人逃避、拒绝或者以其他方式阻挠税务机关检查</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在税务机关责令改正后按要求改正的，可以处1万元以下的罚款。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七十条，纳税人、扣缴义务人逃避、拒绝或者以其他方式阻挠税务机关检查的，由税务机关责令改正，可以处一万元以下的罚款；情节严重的，处一万元以上五万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六条，纳税人、扣缴义务人有下列情形之一的，依照税收征管法第七十条的规定处罚：（一）提供虚假资料，不如实反映情况，或者拒绝提供有关资料的；（二）拒绝或者阻止税务机关记录、录音、录像、照相和复制与案件有关的情况和资料的；（三）在检查期间，纳税人、扣缴义务人转移、隐匿、销毁有关资料的；（四）有不依法接受税务检查的其他情形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27</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造成税款流失金额50万元以下的，处10万元以上20万元以下的罚款，并对直接负责的主管人员和其他直接责任人员处1000元以上2000元以下的罚款。造成税款流失金额超过50万元不满250万元的，处20万元以上30万元以下的罚款，并对直接负责的主管人员和其他直接责任人员处2000元以上5000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七十三条，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由税务机关处十万元以上五十万元以下的罚款，对直接负责的主管人员和其他直接责任人员处一千元以上一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28</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有关单位拒绝税务机关依照税收征管法第五十四条第（五）项的规定，到车站、码头、机场、邮政企业及其分支机构检查纳税人有关情况</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在税务机关责令改正后按要求改正的，可以处1万元以下的罚款。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实施细则》第九十五条，税务机关依照税收征管法第五十四条第（五）项的规定，到车站、码头、机场、邮政企业及其分支机构检查纳税人有关情况时，有关单位拒绝的，由税务机关责令改正，可以处1万元以下的罚款；情节严重的，处1万元以上5万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29</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非法印制发票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非法印制发票25份以下的，并处1万元以上2万元以下的罚款；非法印制发票超过25份不满100份的，并处2万元以上4万元以下的罚款。</w:t>
            </w:r>
            <w:r>
              <w:rPr>
                <w:rStyle w:val="19"/>
                <w:rFonts w:hint="eastAsia" w:ascii="仿宋_GB2312" w:hAnsi="仿宋_GB2312" w:eastAsia="仿宋_GB2312" w:cs="仿宋_GB2312"/>
                <w:sz w:val="24"/>
                <w:szCs w:val="24"/>
                <w:lang w:val="en-US" w:eastAsia="zh-CN" w:bidi="ar"/>
              </w:rPr>
              <w:br w:type="textWrapping"/>
            </w:r>
            <w:r>
              <w:rPr>
                <w:rStyle w:val="19"/>
                <w:rFonts w:hint="eastAsia" w:ascii="仿宋_GB2312" w:hAnsi="仿宋_GB2312" w:eastAsia="仿宋_GB2312" w:cs="仿宋_GB2312"/>
                <w:sz w:val="24"/>
                <w:szCs w:val="24"/>
                <w:lang w:val="en-US" w:eastAsia="zh-CN" w:bidi="ar"/>
              </w:rPr>
              <w:t>同时销毁非法印制的发票，没收违法所得和作案工具，</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二十二条，增值税专用发票由国务院税务主管部门指定的企业印刷；其他发票，按照国务院税务主管部门的规定，分别由省、自治区、直辖市国家税务局、地方税务局指定企业印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未经前款规定的税务机关指定，不得印制发票。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第七十一条，违反本法第二十二条规定，非法印制发票的，由税务机关销毁非法印制的发票，没收违法所得和作案工具，并处一万元以上五万元以下的罚款；构成犯罪的，依法追究刑事责任。</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30</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应当开具而未开具发票，或者未按照规定的时限、顺序、栏目，全部联次一次性开具发票，或者未加盖发票专用章</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应当开具而未开具发票除按照《内蒙古自治区税务行政处罚裁量基准》（公告2021年9号）不予行政处罚的情形外，涉及发票金额不满5万元的，对个人处50元以下的罚款，对单位处1000元以下的罚款。有违法所得的予以没收。（二）未按照规定的时限、顺序、栏目，全部联次一次性开具发票，或者未加盖发票专用章除按照《内蒙古自治区税务行政处罚裁量基准》（公告2021年9号）不予行政处罚的情形外，涉及发票不满100份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一项，违反本办法的规定，有下列情形之一的，由税务机关责令改正，可以处1万元以下的罚款；有违法所得的予以没收：（一）应当开具而未开具发票，或者未按照规定的时限、顺序、栏目，全部联次一次性开具发票，或者未加盖发票专用章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31</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使用税控装置开具发票，未按期向主管税务机关报送开具发票的数据</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在税务机关发现前主动改正或者按照税务机关要求改正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二项，违反本办法的规定，有下列情形之一的，由税务机关责令改正，可以处1万元以下的罚款；有违法所得的予以没收：（二）使用税控装置开具发票，未按期向主管税务机关报送开具发票的数据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32</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使用非税控电子器具开具发票，未将非税控电子器具使用的软件程序说明资料报主管税务机关备案，或者未按照规定保存、报送开具发票的数据</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在税务机关发现前主动改正或者按照税务机关要求改正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三项，违反本办法的规定，有下列情形之一的，由税务机关责令改正，可以处1万元以下的罚款；有违法所得的予以没收：（三）使用非税控电子器具开具发票，未将非税控电子器具使用的软件程序说明资料报主管税务机关备案，或者未按照规定保存、报送开具发票的数据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33</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拆本使用发票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除按照《内蒙古自治区税务行政处罚裁量基准》（公告2021年9号）不予行政处罚的情形外，涉及发票5本以下的，对个人处50元以下的罚款，对单位处1000元以下的罚款。有违法所得的予以没收。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《中华人民共和国发票管理办法》第三十五条第四项，违反本办法的规定，有下列情形之一的，由税务机关责令改正，可以处1万元以下的罚款；有违法所得的予以没收：（四）拆本使用发票的。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34</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扩大发票使用范围</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除按照《内蒙古自治区税务行政处罚裁量基准》（公告2021年9号）不予行政处罚的情形外，涉及发票不满100份的，对个人处50元以下的罚款，对单位处1000元以下的罚款。有违法所得的予以没收。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《中华人民共和国发票管理办法》第三十五条第五项，违反本办法的规定，有下列情形之一的，由税务机关责令改正，可以处1万元以下的罚款；有违法所得的予以没收：（五）扩大发票使用范围的。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35</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以其他凭证代替发票使用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5"/>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除按照《内蒙古自治区税务行政处罚裁量基准》（公告2021年9号）不予行政处罚的情形外，涉及金额不满5万元的，对个人处50元以下的罚款，对单位处1000元以下的罚款。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t>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《中华人民共和国发票管理办法》第三十五条第六项，违反本办法的规定，有下列情形之一的，由税务机关责令改正，可以处1万元以下的罚款；有违法所得的予以没收：（六）以其他凭证代替发票使用的。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36</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跨规定区域开具发票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除按照《内蒙古自治区税务行政处罚裁量基准》（公告2021年9号）不予行政处罚的情形外，涉及发票不满100份的，对个人处50元以下的罚款，对单位处1000元以下的罚款。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《中华人民共和国发票管理办法》第三十五条第七项，违反本办法的规定，有下列情形之一的，由税务机关责令改正，可以处1万元以下的罚款；有违法所得的予以没收：（七）跨规定区域开具发票的。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37</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未按照规定缴销发票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定额发票不满500份的，或者卷式发票不满200份的，或者其他发票不满100份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《中华人民共和国发票管理办法》第三十五条第八项，违反本办法的规定，有下列情形之一的，由税务机关责令改正，可以处1万元以下的罚款；有违法所得的予以没收：（八）未按照规定缴销发票的。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38</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未按照规定存放和保管发票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定额发票不满500份的，或者卷式发票不满200份的，或者其他发票不满100份的，对个人处50元以下的罚款，对单位处1000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《中华人民共和国发票管理办法》第三十五条第九项，违反本办法的规定，有下列情形之一的，由税务机关责令改正，可以处1万元以下的罚款；有违法所得的予以没收：（九）未按照规定存放和保管发票的。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39</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跨规定的使用区域携带、邮寄、运输空白发票，以及携带、邮寄或者运输空白发票出入境</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除按照《内蒙古自治区税务行政处罚裁量基准》（公告2021年9号）不予行政处罚的情形外，涉及发票不满100份的，处1000元以下的罚款。有违法所得的予以没收。除按照《内蒙古自治区税务行政处罚裁量基准》（公告2021年9号）不予行政处罚的情形外，涉及发票100份以上不满500份的，处1000元以上5000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六条第一款，跨规定的使用区域携带、邮寄、运输空白发票，以及携带、邮寄或者运输空白发票出入境的，由税务机关责令改正，可以处1万元以下的罚款；情节严重的，处1万元以上3万元以下的罚款；有违法所得的予以没收。</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40</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丢失发票或者擅自损毁发票</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定额发票不满200份的，或者卷式发票不满100份的，或者其他发票不满50份的，对个人可以处50元以下的罚款，对单位可以处1000元以下的罚款。定额发票200份以上不满400份的，或者卷式发票100份以上不满200份的，或者其他发票50份以上不满100份的，对个人处50元以上2000元以下的罚款，对单位处1000元以上2000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六条，跨规定的使用区域携带、邮寄、运输空白发票，以及携带、邮寄或者运输空白发票出入境的，由税务机关责令改正，可以处1万元以下的罚款；情节严重的，处1万元以上3万元以下的罚款；有违法所得的予以没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丢失发票或者擅自损毁发票的，依照前款规定处罚。</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41</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私自印制、伪造、变造发票，非法制造发票防伪专用品，伪造发票监制章</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私自印制、伪造、变造发票：1.涉及发票25份以下的，并处1万元以上2万元以下的罚款。同时没收违法所得，没收、销毁作案工具和非法物品。对印制发票的企业,可以并处吊销发票准印证。</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八条，私自印制、伪造、变造发票，非法制造发票防伪专用品，伪造发票监制章的，由税务机关没收违法所得，没收、销毁作案工具和非法物品，并处1万元以上5万元以下的罚款；情节严重的，并处5万元以上50万元以下的罚款；对印制发票的企业,可以并处吊销发票准印证；构成犯罪的，依法追究刑事责任。</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前款规定的处罚，《中华人民共和国税收征收管理法》有规定的，依照其规定执行。</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42</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转借、转让、介绍他人转让发票、发票监制章和发票防伪专用品</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转借、转让、介绍他人转让发票：涉及发票25份以下的，处1万元以上2万元以下的罚款。有违法所得的予以没收。</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三十九条第一项，有下列情形之一的，由税务机关处1万元以上5万元以下的罚款；情节严重的，处5万元以上50万元以下的罚款；有违法所得的予以没收：（一）转借、转让、介绍他人转让发票、发票监制章和发票防伪专用品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43</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违反发票管理法规，导致其他单位或者个人未缴、少缴或者骗取税款</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20"/>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br w:type="textWrapping"/>
            </w:r>
            <w:r>
              <w:rPr>
                <w:rStyle w:val="19"/>
                <w:rFonts w:hint="eastAsia" w:ascii="仿宋_GB2312" w:hAnsi="仿宋_GB2312" w:eastAsia="仿宋_GB2312" w:cs="仿宋_GB2312"/>
                <w:sz w:val="24"/>
                <w:szCs w:val="24"/>
                <w:lang w:val="en-US" w:eastAsia="zh-CN" w:bidi="ar"/>
              </w:rPr>
              <w:t>导致其他单位或者个人未缴、少缴或者骗取税款不满5万元的，可以并处未缴、少缴或者骗取的税款50%以下的罚款。同时没收违法所得</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《中华人民共和国发票管理办法》第四十一条，违反发票管理法规，导致其他单位或者个人未缴、少缴或者骗取税款的，由税务机关没收违法所得，可以并处未缴、少缴或者骗取的税款1倍以下的罚款。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44</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扣缴义务人未按照《税收票证管理办法》的规定开具税收票证</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除按照《内蒙古自治区税务行政处罚裁量基准》（公告2021年9号）不予行政处罚的情形外，涉及税收票证25份以下的，处200元以下的罚款。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收票证管理办法》（国家税务总局令第28号公布，国家税务总局令第48号修改）第五十四条，扣缴义务人未按照本办法及有关规定保管、报送代扣代缴、代收代缴税收票证及有关资料的，按照《中华人民共和国税收征收管理法》及相关规定进行处理。扣缴义务人未按照本办法开具税收票证的，可以根据情节轻重，处以一千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45</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自行填开税收票证的纳税人违反《税收票证管理办法》及相关规定</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除按照《内蒙古自治区税务行政处罚裁量基准》（公告2021年9号）不予行政处罚的情形外，涉及未按规定使用的税收票证25份以下的，可以处500元以下的罚款。</w:t>
            </w:r>
            <w:r>
              <w:rPr>
                <w:rStyle w:val="19"/>
                <w:rFonts w:hint="eastAsia" w:ascii="仿宋_GB2312" w:hAnsi="仿宋_GB2312" w:eastAsia="仿宋_GB2312" w:cs="仿宋_GB2312"/>
                <w:sz w:val="24"/>
                <w:szCs w:val="24"/>
                <w:lang w:val="en-US" w:eastAsia="zh-CN" w:bidi="ar"/>
              </w:rPr>
              <w:br w:type="textWrapping"/>
            </w:r>
            <w:r>
              <w:rPr>
                <w:rStyle w:val="20"/>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税收票证管理办法》（国家税务总局令第28号公布，国家税务总局令第48号修改）第五十六条，自行填开税收票证的纳税人违反本办法及相关规定的，税务机关应当停止其税收票证的领用和自行填开，并限期缴销全部税收票证；情节严重的，可以处以一千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46</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非法为纳税人、纳税担保人实施虚假纳税担保提供方便</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涉及虚假纳税担保金额10万元以下的，处200元以下的罚款。涉及虚假纳税担保金额超过10万元不满50万元的，处200元以上500元以下的罚款。</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《纳税担保试行办法》（国家税务总局令第11号公布）第三十一条第二款，非法为纳税人、纳税担保人实施虚假纳税担保提供方便的，由税务机关处以1000元以下的罚款。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47</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纳税人采取欺骗、隐瞒等手段提供担保，造成应缴税款损失</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Style w:val="19"/>
                <w:rFonts w:hint="eastAsia" w:ascii="仿宋_GB2312" w:hAnsi="仿宋_GB2312" w:eastAsia="仿宋_GB2312" w:cs="仿宋_GB2312"/>
                <w:sz w:val="24"/>
                <w:szCs w:val="24"/>
                <w:lang w:val="en-US" w:eastAsia="zh-CN" w:bidi="ar"/>
              </w:rPr>
              <w:t>未缴、少缴税款金额50万元以下的，处未缴、少缴税款50%以上1倍以下的罚款。</w:t>
            </w:r>
            <w:r>
              <w:rPr>
                <w:rStyle w:val="19"/>
                <w:rFonts w:hint="eastAsia" w:ascii="仿宋_GB2312" w:hAnsi="仿宋_GB2312" w:eastAsia="仿宋_GB2312" w:cs="仿宋_GB2312"/>
                <w:sz w:val="24"/>
                <w:szCs w:val="24"/>
                <w:lang w:val="en-US" w:eastAsia="zh-CN" w:bidi="ar"/>
              </w:rPr>
              <w:br w:type="textWrapping"/>
            </w:r>
            <w:r>
              <w:rPr>
                <w:rStyle w:val="15"/>
                <w:rFonts w:hint="eastAsia" w:ascii="仿宋_GB2312" w:hAnsi="仿宋_GB2312" w:eastAsia="仿宋_GB2312" w:cs="仿宋_GB2312"/>
                <w:sz w:val="24"/>
                <w:szCs w:val="24"/>
                <w:lang w:val="en-US" w:eastAsia="zh-CN" w:bidi="ar"/>
              </w:rPr>
              <w:t>   </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纳税担保试行办法》（国家税务总局令第11号公布）第三十二条，纳税人采取欺骗、隐瞒等手段提供担保，造成应缴税款损失的，由税务机关按照《中华人民共和国税收征收管理法》第六十八条规定处以未缴、少缴税款50%以上5倍以下的罚款。</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中华人民共和国税收征收管理法》第六十八条，纳税人、扣缴义务人在规定期限内不缴或者少缴应纳或者应解缴的税款，经税务机关责令限期缴纳，逾期仍未缴纳的，税务机关除依照本法第四十条的规定采取强制执行措施追缴其不缴或者少缴的税款外，可以处不缴或者少缴的税款百分之五十以上五倍以下的罚款。</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包容观察、说服教育、谈话提醒、回访督促、行政指导、行政告诫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560" w:lineRule="exact"/>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48</w:t>
            </w:r>
          </w:p>
        </w:tc>
        <w:tc>
          <w:tcPr>
            <w:tcW w:w="848"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符合主动消除或者减轻税收违法行为危害后果等7种特定情形的税收违法行为。</w:t>
            </w:r>
          </w:p>
        </w:tc>
        <w:tc>
          <w:tcPr>
            <w:tcW w:w="143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已满十四周岁不满十八周岁的未成年人有税收违法行为的。尚未完全丧失辨认或者控制自己行为能力的精神病人、智力残疾人有税收违法行为的。主动消除或者减轻税收违法行为危害后果的。受他人胁迫或诱骗实施税收违法行为的。主动供述行政机关尚未掌握的税收违法行为的。配合行政机关查处违法行为有立功表现的。法律、法规、规章规定其他应当从轻行政处罚的。</w:t>
            </w:r>
          </w:p>
        </w:tc>
        <w:tc>
          <w:tcPr>
            <w:tcW w:w="1950"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华人民共和国行政处罚法》第三十条，不满十四周岁的未成年人有违法行为的，不予行政处罚，责令监护人加以管教；已满十四周岁不满十八周岁的未成年人有违法行为的，应当从轻或者减轻行政处罚；第三十一条，精神病人、智力残疾人在不能辨认或者不能控制自己行为时有违法行为的，不予行政处罚，但应当责令其监护人严加看管和治疗。间歇性精神病人在精神正常时有违法行为的，应当给予行政处罚。尚未完全丧失辨认或者控制自己行为能力的精神病人、智力残疾人有违法行为的，可以从轻或者减轻行政处罚；第三十二条，当事人有下列情形之一，应当从轻或者减轻行政处罚：（一）主动消除或者减轻违法行为危害后果的；（二）受他人胁迫或者诱骗实施违法行为的；（三）主动供述行政机关尚未掌握的违法行为的；（四）配合行政机关查处违法行为有立功表现的；（五）法律、法规、规章规定其他应当从轻或者减轻行政处罚的。</w:t>
            </w:r>
          </w:p>
        </w:tc>
        <w:tc>
          <w:tcPr>
            <w:tcW w:w="506" w:type="pct"/>
            <w:gridSpan w:val="2"/>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4"/>
                <w:szCs w:val="24"/>
                <w:u w:val="none"/>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iCs w:val="0"/>
                <w:color w:val="000000"/>
                <w:kern w:val="0"/>
                <w:sz w:val="40"/>
                <w:szCs w:val="40"/>
                <w:u w:val="none"/>
                <w:lang w:val="en-US" w:eastAsia="zh-CN" w:bidi="ar"/>
              </w:rPr>
              <w:t>教育体育局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48"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恶意终止办学、抽逃资金或者挪用办学经费的行为</w:t>
            </w:r>
          </w:p>
        </w:tc>
        <w:tc>
          <w:tcPr>
            <w:tcW w:w="1436"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5.法律法规规章规定其他应当从轻行政处罚的。</w:t>
            </w:r>
          </w:p>
        </w:tc>
        <w:tc>
          <w:tcPr>
            <w:tcW w:w="1950" w:type="pct"/>
            <w:gridSpan w:val="2"/>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《中华人民共和国民办教育促进法》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审批机关或者其他有关部门责令限期改正，并予以警告；有违法所得的，退还所收费用后没收违法所得；情节严重的，责令停止招生、吊销办学许可证；构成犯罪的，依法追究刑事责任：</w:t>
            </w:r>
          </w:p>
          <w:p>
            <w:pPr>
              <w:keepNext w:val="0"/>
              <w:keepLines w:val="0"/>
              <w:pageBreakBefore w:val="0"/>
              <w:widowControl/>
              <w:numPr>
                <w:ilvl w:val="0"/>
                <w:numId w:val="2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val="0"/>
                <w:bCs w:val="0"/>
                <w:i w:val="0"/>
                <w:color w:val="000000"/>
                <w:kern w:val="0"/>
                <w:sz w:val="24"/>
                <w:szCs w:val="24"/>
                <w:highlight w:val="none"/>
                <w:u w:val="none"/>
                <w:lang w:val="en-US" w:eastAsia="zh-CN" w:bidi="ar"/>
              </w:rPr>
            </w:pPr>
            <w:r>
              <w:rPr>
                <w:rFonts w:hint="eastAsia" w:ascii="仿宋_GB2312" w:hAnsi="仿宋_GB2312" w:eastAsia="仿宋_GB2312" w:cs="仿宋_GB2312"/>
                <w:b w:val="0"/>
                <w:bCs w:val="0"/>
                <w:i w:val="0"/>
                <w:color w:val="000000"/>
                <w:kern w:val="0"/>
                <w:sz w:val="24"/>
                <w:szCs w:val="24"/>
                <w:highlight w:val="none"/>
                <w:u w:val="none"/>
                <w:lang w:val="en-US" w:eastAsia="zh-CN" w:bidi="ar"/>
              </w:rPr>
              <w:t>恶意终止办学、抽逃资金或者挪用办学经费的。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【行政法规】</w:t>
            </w:r>
            <w:r>
              <w:rPr>
                <w:rFonts w:hint="eastAsia" w:ascii="仿宋_GB2312" w:hAnsi="仿宋_GB2312" w:eastAsia="仿宋_GB2312" w:cs="仿宋_GB2312"/>
                <w:i w:val="0"/>
                <w:color w:val="auto"/>
                <w:kern w:val="0"/>
                <w:sz w:val="24"/>
                <w:szCs w:val="24"/>
                <w:highlight w:val="none"/>
                <w:u w:val="none"/>
                <w:lang w:val="en-US" w:eastAsia="zh-CN" w:bidi="ar"/>
              </w:rPr>
              <w:t>《</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中华人民共和国民办教育促进法实施条例》</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举办者及实际控制人、决策机构或者监督机构组成人员有下列情形之一的，由县级以上人民政府教育行政部门、人力资源社会保障行政部门或者其他有关部门依据职责分工责令限期改正，有违法所得的，退还所收费用后没收违法所得；情节严重的，1至5年内不得新成为民办学校举办者或实际控制人、决策机构或者监督机构组成人员；情节特别严重、社会影响恶劣的，永久不得新成为民办学校举办者或实际控制人、决策机构或者监督机构组成人员；构成违反治安管理行为的，由公安机关依法给予治安管理处罚；构成犯罪的，依法追究刑事责任：</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ascii="仿宋_GB2312" w:hAnsi="仿宋_GB2312" w:eastAsia="仿宋_GB2312" w:cs="仿宋_GB2312"/>
                <w:b w:val="0"/>
                <w:bCs w:val="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（二）未按时、足额履行出资义务，或者抽逃出资、挪用办学经费的。</w:t>
            </w:r>
          </w:p>
        </w:tc>
        <w:tc>
          <w:tcPr>
            <w:tcW w:w="506" w:type="pct"/>
            <w:gridSpan w:val="2"/>
            <w:vAlign w:val="center"/>
          </w:tcPr>
          <w:p>
            <w:pPr>
              <w:spacing w:line="240" w:lineRule="auto"/>
              <w:jc w:val="left"/>
              <w:rPr>
                <w:rFonts w:hint="eastAsia" w:ascii="仿宋_GB2312" w:hAnsi="仿宋_GB2312" w:eastAsia="仿宋_GB2312" w:cs="仿宋_GB2312"/>
                <w:b w:val="0"/>
                <w:bCs w:val="0"/>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2</w:t>
            </w:r>
          </w:p>
        </w:tc>
        <w:tc>
          <w:tcPr>
            <w:tcW w:w="848"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擅自举办民办学校的处罚</w:t>
            </w:r>
          </w:p>
        </w:tc>
        <w:tc>
          <w:tcPr>
            <w:tcW w:w="1436"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5.法律法规规章规定其他应当从轻行政处罚的。</w:t>
            </w:r>
          </w:p>
        </w:tc>
        <w:tc>
          <w:tcPr>
            <w:tcW w:w="1950" w:type="pct"/>
            <w:gridSpan w:val="2"/>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第六十四条    社会组织和个人擅自举办民办学校的，由县级以上人民政府的有关行政部门责令限期改正，符合本法及有关法律规定的民办学校条件的，可以补办审批手续；逾期仍达不到办学条件的，责令停止办学，造成经济损失的，依法承担赔偿责任。</w:t>
            </w:r>
          </w:p>
        </w:tc>
        <w:tc>
          <w:tcPr>
            <w:tcW w:w="506" w:type="pct"/>
            <w:gridSpan w:val="2"/>
            <w:vAlign w:val="center"/>
          </w:tcPr>
          <w:p>
            <w:pPr>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3</w:t>
            </w:r>
          </w:p>
        </w:tc>
        <w:tc>
          <w:tcPr>
            <w:tcW w:w="848" w:type="pct"/>
            <w:gridSpan w:val="2"/>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使用有毒、有害物质制作教具、玩具的处罚</w:t>
            </w:r>
          </w:p>
        </w:tc>
        <w:tc>
          <w:tcPr>
            <w:tcW w:w="1436"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widowControl/>
              <w:suppressLineNumbers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5.法律法规规章规定其他应当从轻行政处罚的。</w:t>
            </w:r>
          </w:p>
        </w:tc>
        <w:tc>
          <w:tcPr>
            <w:tcW w:w="1950" w:type="pct"/>
            <w:gridSpan w:val="2"/>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【部门规章】</w:t>
            </w:r>
            <w:r>
              <w:rPr>
                <w:rFonts w:hint="eastAsia" w:ascii="仿宋_GB2312" w:hAnsi="仿宋_GB2312" w:eastAsia="仿宋_GB2312" w:cs="仿宋_GB2312"/>
                <w:i w:val="0"/>
                <w:color w:val="000000"/>
                <w:kern w:val="0"/>
                <w:sz w:val="24"/>
                <w:szCs w:val="24"/>
                <w:highlight w:val="none"/>
                <w:u w:val="none"/>
                <w:lang w:val="en-US" w:eastAsia="zh-CN" w:bidi="ar"/>
              </w:rPr>
              <w:t>《幼儿园管理条例》</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第二十八条    违反本条例，具有下列情形之一的单位或者个人，由教育行政部门对直接责任人员给予警告、罚款的行政处罚，或者由教育行政部门建议有关部门对责任人员给予行政处分：</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（二）使用有毒、有害物质制作教具、玩具的。</w:t>
            </w:r>
          </w:p>
        </w:tc>
        <w:tc>
          <w:tcPr>
            <w:tcW w:w="506" w:type="pct"/>
            <w:gridSpan w:val="2"/>
            <w:vAlign w:val="center"/>
          </w:tcPr>
          <w:p>
            <w:pPr>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4</w:t>
            </w:r>
          </w:p>
        </w:tc>
        <w:tc>
          <w:tcPr>
            <w:tcW w:w="848" w:type="pct"/>
            <w:gridSpan w:val="2"/>
            <w:vAlign w:val="center"/>
          </w:tcPr>
          <w:p>
            <w:pPr>
              <w:keepNext w:val="0"/>
              <w:keepLines w:val="0"/>
              <w:widowControl/>
              <w:suppressLineNumbers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民办学校伪造、变造、买卖、出租、出借办学许可证的处罚</w:t>
            </w:r>
          </w:p>
        </w:tc>
        <w:tc>
          <w:tcPr>
            <w:tcW w:w="1436" w:type="pct"/>
            <w:gridSpan w:val="2"/>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1.主动消除或者减轻违法行为危害后果的；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2.受他人胁迫或者诱骗实施违法行为的；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3.主动供述行政机关尚未掌握的违法行为的；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4.配合行政机关查处违法行为有立功表现的；</w:t>
            </w:r>
          </w:p>
          <w:p>
            <w:pPr>
              <w:keepNext w:val="0"/>
              <w:keepLines w:val="0"/>
              <w:widowControl/>
              <w:suppressLineNumbers w:val="0"/>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5.法律法规规章规定其他应当从轻行政处罚的。</w:t>
            </w:r>
          </w:p>
        </w:tc>
        <w:tc>
          <w:tcPr>
            <w:tcW w:w="1950" w:type="pct"/>
            <w:gridSpan w:val="2"/>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b/>
                <w:bCs/>
                <w:i w:val="0"/>
                <w:color w:val="auto"/>
                <w:kern w:val="0"/>
                <w:sz w:val="24"/>
                <w:szCs w:val="24"/>
                <w:highlight w:val="none"/>
                <w:u w:val="none"/>
                <w:lang w:val="en-US" w:eastAsia="zh-CN" w:bidi="ar"/>
              </w:rPr>
              <w:t>【法律】</w:t>
            </w:r>
            <w:r>
              <w:rPr>
                <w:rFonts w:hint="eastAsia" w:ascii="仿宋_GB2312" w:hAnsi="仿宋_GB2312" w:eastAsia="仿宋_GB2312" w:cs="仿宋_GB2312"/>
                <w:i w:val="0"/>
                <w:color w:val="auto"/>
                <w:kern w:val="0"/>
                <w:sz w:val="24"/>
                <w:szCs w:val="24"/>
                <w:highlight w:val="none"/>
                <w:u w:val="none"/>
                <w:lang w:val="en-US" w:eastAsia="zh-CN" w:bidi="ar"/>
              </w:rPr>
              <w:t xml:space="preserve">《中华人民共和国行政处罚法》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第三十二条    当事人有下列情形之一，应当从轻或者减轻行政处罚：</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（一）主动消除或者减轻违法行为危害后果的；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（二）受他人胁迫或者诱骗实施违法行为的；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（三）主动供述行政机关尚未掌握的违法行为的；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（四）配合行政机关查处违法行为有立功表现的；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left"/>
              <w:textAlignment w:val="center"/>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（五）法律、法规、规章规定其他应当从轻或者减轻行政处罚的。</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b/>
                <w:bCs/>
                <w:i w:val="0"/>
                <w:color w:val="000000"/>
                <w:kern w:val="0"/>
                <w:sz w:val="24"/>
                <w:szCs w:val="24"/>
                <w:highlight w:val="none"/>
                <w:u w:val="none"/>
                <w:lang w:val="en-US" w:eastAsia="zh-CN" w:bidi="ar"/>
              </w:rPr>
              <w:t>【法律】</w:t>
            </w:r>
            <w:r>
              <w:rPr>
                <w:rFonts w:hint="eastAsia" w:ascii="仿宋_GB2312" w:hAnsi="仿宋_GB2312" w:eastAsia="仿宋_GB2312" w:cs="仿宋_GB2312"/>
                <w:i w:val="0"/>
                <w:color w:val="000000"/>
                <w:kern w:val="0"/>
                <w:sz w:val="24"/>
                <w:szCs w:val="24"/>
                <w:highlight w:val="none"/>
                <w:u w:val="none"/>
                <w:lang w:val="en-US" w:eastAsia="zh-CN" w:bidi="ar"/>
              </w:rPr>
              <w:t>《中华人民共和国民办教育促进法》</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i w:val="0"/>
                <w:color w:val="000000"/>
                <w:kern w:val="0"/>
                <w:sz w:val="24"/>
                <w:szCs w:val="24"/>
                <w:highlight w:val="none"/>
                <w:u w:val="none"/>
                <w:lang w:val="en-US" w:eastAsia="zh-CN" w:bidi="ar"/>
              </w:rPr>
              <w:t>第六十二条    民办学校有下列行为之一的，由县级以上人民政府教育行政部门、人力资源社会保障行政部门或者其他有关部门责令限期改正，并予以警告；有违法所得的，退还所收费用后没收违法所得；情节严重的，责令停止招生、吊销办学许可证；构成犯罪的，依法追究刑事责任：</w:t>
            </w:r>
          </w:p>
          <w:p>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（七）伪造、变造、买卖、出租、出借办学许可证的。</w:t>
            </w:r>
          </w:p>
        </w:tc>
        <w:tc>
          <w:tcPr>
            <w:tcW w:w="506" w:type="pct"/>
            <w:gridSpan w:val="2"/>
            <w:vAlign w:val="center"/>
          </w:tcPr>
          <w:p>
            <w:pPr>
              <w:spacing w:line="240" w:lineRule="auto"/>
              <w:jc w:val="left"/>
              <w:rPr>
                <w:rFonts w:hint="eastAsia" w:ascii="仿宋_GB2312" w:hAnsi="仿宋_GB2312" w:eastAsia="仿宋_GB2312" w:cs="仿宋_GB2312"/>
                <w:b/>
                <w:bCs/>
                <w:kern w:val="2"/>
                <w:sz w:val="24"/>
                <w:szCs w:val="24"/>
                <w:highlight w:val="none"/>
                <w:vertAlign w:val="baseline"/>
                <w:lang w:val="en-US" w:eastAsia="zh-CN" w:bidi="ar-SA"/>
              </w:rPr>
            </w:pPr>
            <w:r>
              <w:rPr>
                <w:rFonts w:hint="eastAsia" w:ascii="仿宋_GB2312" w:hAnsi="仿宋_GB2312" w:eastAsia="仿宋_GB2312" w:cs="仿宋_GB2312"/>
                <w:i w:val="0"/>
                <w:color w:val="000000"/>
                <w:kern w:val="0"/>
                <w:sz w:val="24"/>
                <w:szCs w:val="24"/>
                <w:highlight w:val="none"/>
                <w:u w:val="none"/>
                <w:lang w:val="en-US" w:eastAsia="zh-CN" w:bidi="ar"/>
              </w:rPr>
              <w:t>根据具体情况采取包容观察、说服教育、谈话提醒、回访督促、行政指导、行政告诫等包容审慎监管执法方式。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5</w:t>
            </w:r>
          </w:p>
        </w:tc>
        <w:tc>
          <w:tcPr>
            <w:tcW w:w="848" w:type="pct"/>
            <w:gridSpan w:val="2"/>
            <w:vAlign w:val="center"/>
          </w:tcPr>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对未经批准擅自经营高危险性体育项目的处罚</w:t>
            </w:r>
          </w:p>
        </w:tc>
        <w:tc>
          <w:tcPr>
            <w:tcW w:w="1436" w:type="pct"/>
            <w:gridSpan w:val="2"/>
            <w:vAlign w:val="center"/>
          </w:tcPr>
          <w:p>
            <w:pPr>
              <w:spacing w:before="180" w:line="240" w:lineRule="auto"/>
              <w:ind w:left="135"/>
              <w:jc w:val="both"/>
              <w:rPr>
                <w:rFonts w:hint="eastAsia" w:ascii="仿宋_GB2312" w:hAnsi="仿宋_GB2312" w:eastAsia="仿宋_GB2312" w:cs="仿宋_GB2312"/>
                <w:spacing w:val="-7"/>
                <w:sz w:val="24"/>
                <w:szCs w:val="24"/>
                <w:highlight w:val="none"/>
              </w:rPr>
            </w:pPr>
          </w:p>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情节事实存在，违法所得3万元以上的</w:t>
            </w:r>
          </w:p>
        </w:tc>
        <w:tc>
          <w:tcPr>
            <w:tcW w:w="1950" w:type="pct"/>
            <w:gridSpan w:val="2"/>
            <w:vAlign w:val="center"/>
          </w:tcPr>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《全民健身条例》第三十六条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　未经批准，擅自经营高危险性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w:t>
            </w:r>
          </w:p>
        </w:tc>
        <w:tc>
          <w:tcPr>
            <w:tcW w:w="506" w:type="pct"/>
            <w:gridSpan w:val="2"/>
            <w:vAlign w:val="center"/>
          </w:tcPr>
          <w:p>
            <w:pPr>
              <w:spacing w:before="180" w:line="240" w:lineRule="auto"/>
              <w:jc w:val="center"/>
              <w:rPr>
                <w:rFonts w:hint="eastAsia" w:ascii="仿宋_GB2312" w:hAnsi="仿宋_GB2312" w:eastAsia="仿宋_GB2312" w:cs="仿宋_GB2312"/>
                <w:spacing w:val="-7"/>
                <w:sz w:val="24"/>
                <w:szCs w:val="24"/>
                <w:highlight w:val="none"/>
              </w:rPr>
            </w:pPr>
          </w:p>
          <w:p>
            <w:pPr>
              <w:spacing w:before="180" w:line="240" w:lineRule="auto"/>
              <w:jc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行政建议、行政指导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kern w:val="2"/>
                <w:sz w:val="24"/>
                <w:szCs w:val="24"/>
                <w:vertAlign w:val="baseline"/>
                <w:lang w:val="en-US" w:eastAsia="zh-CN" w:bidi="ar-SA"/>
              </w:rPr>
            </w:pPr>
            <w:r>
              <w:rPr>
                <w:rFonts w:hint="eastAsia" w:ascii="仿宋_GB2312" w:hAnsi="仿宋_GB2312" w:eastAsia="仿宋_GB2312" w:cs="仿宋_GB2312"/>
                <w:b w:val="0"/>
                <w:bCs w:val="0"/>
                <w:kern w:val="2"/>
                <w:sz w:val="24"/>
                <w:szCs w:val="24"/>
                <w:vertAlign w:val="baseline"/>
                <w:lang w:val="en-US" w:eastAsia="zh-CN" w:bidi="ar-SA"/>
              </w:rPr>
              <w:t>6</w:t>
            </w:r>
          </w:p>
        </w:tc>
        <w:tc>
          <w:tcPr>
            <w:tcW w:w="848" w:type="pct"/>
            <w:gridSpan w:val="2"/>
            <w:vAlign w:val="center"/>
          </w:tcPr>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对高危险性体育项目经营者取得许可证后不在符合条件仍经营的处罚</w:t>
            </w:r>
          </w:p>
        </w:tc>
        <w:tc>
          <w:tcPr>
            <w:tcW w:w="1436" w:type="pct"/>
            <w:gridSpan w:val="2"/>
            <w:vAlign w:val="center"/>
          </w:tcPr>
          <w:p>
            <w:pPr>
              <w:spacing w:before="180" w:line="240" w:lineRule="auto"/>
              <w:jc w:val="both"/>
              <w:rPr>
                <w:rFonts w:hint="eastAsia" w:ascii="仿宋_GB2312" w:hAnsi="仿宋_GB2312" w:eastAsia="仿宋_GB2312" w:cs="仿宋_GB2312"/>
                <w:spacing w:val="-7"/>
                <w:sz w:val="24"/>
                <w:szCs w:val="24"/>
                <w:highlight w:val="none"/>
              </w:rPr>
            </w:pPr>
          </w:p>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情节事实存在，违法所得3万元以上的</w:t>
            </w:r>
          </w:p>
        </w:tc>
        <w:tc>
          <w:tcPr>
            <w:tcW w:w="1950" w:type="pct"/>
            <w:gridSpan w:val="2"/>
            <w:vAlign w:val="center"/>
          </w:tcPr>
          <w:p>
            <w:pPr>
              <w:spacing w:before="180" w:line="240" w:lineRule="auto"/>
              <w:ind w:left="135" w:leftChars="0"/>
              <w:jc w:val="both"/>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《全民健身条例》第三十七条</w:t>
            </w:r>
            <w:r>
              <w:rPr>
                <w:rFonts w:hint="eastAsia" w:ascii="仿宋_GB2312" w:hAnsi="仿宋_GB2312" w:eastAsia="仿宋_GB2312" w:cs="仿宋_GB2312"/>
                <w:spacing w:val="-7"/>
                <w:sz w:val="24"/>
                <w:szCs w:val="24"/>
                <w:highlight w:val="none"/>
                <w:lang w:eastAsia="zh-CN"/>
              </w:rPr>
              <w:t>：</w:t>
            </w:r>
            <w:r>
              <w:rPr>
                <w:rFonts w:hint="eastAsia" w:ascii="仿宋_GB2312" w:hAnsi="仿宋_GB2312" w:eastAsia="仿宋_GB2312" w:cs="仿宋_GB2312"/>
                <w:spacing w:val="-7"/>
                <w:sz w:val="24"/>
                <w:szCs w:val="24"/>
                <w:highlight w:val="none"/>
              </w:rPr>
              <w:t>高危险性体育项目经营者取得许可证后，不再符合本条例规定条件仍经营该体育项目的，由县级以上地方人民政府体育主管部门按照管理权限责令改正；有违法所得的，没收违法所得；违法所得不足3万元或者没有违法所得的，并处3万元以上10万元以下的罚款；违法所得3万元以上的，并处违法所得2倍以上5倍以下的罚款；拒不改正的，由原发证机关吊销许可证。</w:t>
            </w:r>
          </w:p>
        </w:tc>
        <w:tc>
          <w:tcPr>
            <w:tcW w:w="506" w:type="pct"/>
            <w:gridSpan w:val="2"/>
            <w:vAlign w:val="center"/>
          </w:tcPr>
          <w:p>
            <w:pPr>
              <w:spacing w:before="180" w:line="240" w:lineRule="auto"/>
              <w:jc w:val="center"/>
              <w:rPr>
                <w:rFonts w:hint="eastAsia" w:ascii="仿宋_GB2312" w:hAnsi="仿宋_GB2312" w:eastAsia="仿宋_GB2312" w:cs="仿宋_GB2312"/>
                <w:spacing w:val="-7"/>
                <w:sz w:val="24"/>
                <w:szCs w:val="24"/>
                <w:highlight w:val="none"/>
              </w:rPr>
            </w:pPr>
          </w:p>
          <w:p>
            <w:pPr>
              <w:spacing w:before="180" w:line="240" w:lineRule="auto"/>
              <w:jc w:val="center"/>
              <w:rPr>
                <w:rFonts w:hint="eastAsia" w:ascii="仿宋_GB2312" w:hAnsi="仿宋_GB2312" w:eastAsia="仿宋_GB2312" w:cs="仿宋_GB2312"/>
                <w:spacing w:val="-7"/>
                <w:sz w:val="24"/>
                <w:szCs w:val="24"/>
                <w:highlight w:val="none"/>
              </w:rPr>
            </w:pPr>
          </w:p>
          <w:p>
            <w:pPr>
              <w:spacing w:before="180" w:line="240" w:lineRule="auto"/>
              <w:jc w:val="center"/>
              <w:rPr>
                <w:rFonts w:hint="eastAsia" w:ascii="仿宋_GB2312" w:hAnsi="仿宋_GB2312" w:eastAsia="仿宋_GB2312" w:cs="仿宋_GB2312"/>
                <w:i w:val="0"/>
                <w:color w:val="000000"/>
                <w:kern w:val="0"/>
                <w:sz w:val="24"/>
                <w:szCs w:val="24"/>
                <w:highlight w:val="none"/>
                <w:u w:val="none"/>
                <w:lang w:val="en-US" w:eastAsia="zh-CN" w:bidi="ar"/>
              </w:rPr>
            </w:pPr>
            <w:r>
              <w:rPr>
                <w:rFonts w:hint="eastAsia" w:ascii="仿宋_GB2312" w:hAnsi="仿宋_GB2312" w:eastAsia="仿宋_GB2312" w:cs="仿宋_GB2312"/>
                <w:spacing w:val="-7"/>
                <w:sz w:val="24"/>
                <w:szCs w:val="24"/>
                <w:highlight w:val="none"/>
              </w:rPr>
              <w:t>行政建议、行政指导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spacing w:before="180" w:line="240" w:lineRule="auto"/>
              <w:jc w:val="center"/>
              <w:rPr>
                <w:rFonts w:hint="eastAsia" w:ascii="仿宋_GB2312" w:hAnsi="仿宋_GB2312" w:eastAsia="仿宋_GB2312" w:cs="仿宋_GB2312"/>
                <w:b/>
                <w:bCs/>
                <w:spacing w:val="-7"/>
                <w:sz w:val="24"/>
                <w:szCs w:val="24"/>
                <w:highlight w:val="none"/>
                <w:lang w:val="en-US"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pacing w:val="-7"/>
                <w:sz w:val="40"/>
                <w:szCs w:val="40"/>
                <w:highlight w:val="none"/>
                <w:lang w:val="en-US" w:eastAsia="zh-CN"/>
              </w:rPr>
              <w:t>民政局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p>
            <w:pPr>
              <w:pStyle w:val="2"/>
              <w:spacing w:line="240" w:lineRule="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pStyle w:val="2"/>
              <w:spacing w:line="240" w:lineRule="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社会团体涂改、出租、出借《社会团体法人登记证书》，或者出租、出借社会团体印章的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一）项社会团体有下列情形之一的，由登记管理机关给予警告，责令改正，可以限期停止活动，并可以责令撤换直接负责的主管人员；情节严重的，予以撤销登记；构成犯罪的，依法追究刑事责任：（一）涂改、出租、出借《社会团体法人登记证书》，或者出租、出借社会团体印章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社会团体超出章程规定的宗旨和业务范围进行活动的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二）项社会团体有下列情形之一的，由登记管理机关给予警告，责令改正，可以限期停止活动，并可以责令撤换直接负责的主管人员；情节严重的，予以撤销登记；构成犯罪的，依法追究刑事责任：（二）超出章程规定的宗旨和业务范围进行活动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社会团体拒不接受或者不按照规定接受监督检查的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三）项社会团体有下列情形之一的，由登记管理机关给予警告，责令改正，可以限期停止活动，并可以责令撤换直接负责的主管人员；情节严重的，予以撤销登记；构成犯罪的，依法追究刑事责任：（三）拒不接受或者不按照规定接受监督检查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通过约谈进一步了解情况，指出问题，督促整改，没收违法经营额或者违法所得，但不予罚款。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社会团体不按照规定办理变更登记的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四）项社会团体有下列情形之一的，由登记管理机关给予警告，责令改正，可以限期停止活动，并可以责令撤换直接负责的主管人员；情节严重的，予以撤销登记；构成犯罪的，依法追究刑事责任：（四）不按照规定办理变更登记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社会团体违反规定设立分支机构、代表机构，或者对分支机构、代表机构疏于管理，造成严重后果的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五）项社会团体有下列情形之一的，由登记管理机关给予警告，责令改正，可以限期停止活动，并可以责令撤换直接负责的主管人员；情节严重的，予以撤销登记；构成犯罪的，依法追究刑事责任：（五）违反规定设立分支机构、代表机构，或者对分支机构、代表机构疏于管理，造成严重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pStyle w:val="2"/>
              <w:spacing w:line="240" w:lineRule="auto"/>
              <w:jc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pStyle w:val="2"/>
              <w:spacing w:line="240" w:lineRule="auto"/>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社会团体从事营利性的经营活动的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六）项社会团体有下列情形之一的，由登记管理机关给予警告，责令改正，可以限期停止活动，并可以责令撤换直接负责的主管人员；情节严重的，予以撤销登记；构成犯罪的，依法追究刑事责任：（六）从事营利性的经营活动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社会团体侵占、私分、挪用社会团体资产或者所接受的捐赠、资助的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七）项社会团体有下列情形之一的，由登记管理机关给予警告，责令改正，可以限期停止活动，并可以责令撤换直接负责的主管人员；情节严重的，予以撤销登记；构成犯罪的，依法追究刑事责任：（七）侵占、私分、挪用社会团体资产或者所接受的捐赠、资助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社会团体违反国家有关规定收取费用、筹集资金或者接受、使用捐赠、资助的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一款第（八）项社会团体有下列情形之一的，由登记管理机关给予警告，责令改正，可以限期停止活动，并可以责令撤换直接负责的主管人员；情节严重的，予以撤销登记；构成犯罪的，依法追究刑事责任：的，依法追究刑事责任：（八）违反国家有关规定收取费用、筹集资金或者接受、使用捐赠、资助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《社会团体登记管理条例》第三十条第二款前款规定的行为有违法经营额或者违法所得的，予以没收，可以并处违法经营额1倍以上3倍以下或者违法所得3倍以上5倍以下的罚款。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9</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民办非企业单位涂改、出租、出借民办非企业单位登记证书，或者出租、出借民办非企业单位印章的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一）项民办非企业单位有下列情形之一的，由登记管理机关予以警告，责令改正，可以限期停止活动；情节严重的，予以撤销登记；构成犯罪的，依法追究刑事责任：（一）涂改、出租、出借民办非企业单位登记证书，或者出租、出借民办非企业单位印章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10</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民办非企业单位超出其章程规定的宗旨和业务范围进行活动的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二）项民办非企业单位有下列情形之一的，由登记管理机关予以警告，责令改正，可以限期停止活动；情节严重的，予以撤销登记；构成犯罪的，依法追究刑事责任：（二）超出其章程规定的宗旨和业务范围进行活动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11</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民办非企业单位拒不接受或者不按照规定接受监督检查的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三）项民办非企业单位有下列情形之一的，由登记管理机关予以警告，责令改正，可以限期停止活动；情节严重的，予以撤销登记；构成犯罪的，依法追究刑事责任：（三）拒不接受或者不按照规定接受监督检查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12</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民办非企业单位不按照规定办理变更登记，修改章程未按规定核准备案的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四）项民办非企业单位有下列情形之一的，由登记管理机关予以警告，责令改正，可以限期停止活动；情节严重的，予以撤销登记；构成犯罪的，依法追究刑事责任：（四）不按照规定办理变更登记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13</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民办非企业单位设立分支机构的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五）项民办非企业单位有下列情形之一的，由登记管理机关予以警告，责令改正，可以限期停止活动；情节严重的，予以撤销登记；构成犯罪的，依法追究刑事责任：（五）设立分支机构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14</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民办非企业单位从事营利性的经营活动的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六）项民办非企业单位有下列情形之一的，由登记管理机关予以警告，责令改正，可以限期停止活动；情节严重的，予以撤销登记；构成犯罪的，依法追究刑事责任：（六）从事营利性的经营活动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p>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15</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民办非企业单位侵占、私分、挪用民办非企业单位的资产或者所接受的捐赠、资助的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七）项民办非企业单位有下列情形之一的，由登记管理机关予以警告，责令改正，可以限期停止活动；情节严重的，予以撤销登记；构成犯罪的，依法追究刑事责任：（七）侵占、私分、挪用民办非企业单位的资产或者所接受的捐赠、资助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16</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民办非企业单位违反国家有关规定收取费用、筹集资金或者接受使用捐赠、资助的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主动改正违法行为，违法行为没有造成危害后果的，警告；责令改正；有违法经营额或者违法所得的，没收违法经营额或者违法所得，但不予罚款。</w:t>
            </w:r>
          </w:p>
        </w:tc>
        <w:tc>
          <w:tcPr>
            <w:tcW w:w="1950" w:type="pct"/>
            <w:gridSpan w:val="2"/>
            <w:vAlign w:val="center"/>
          </w:tcPr>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《中华人民共和国行政处罚法》第三十二条第一款 当事人有下列情形之一，应当从轻或者减轻行政处罚：（一）主动消除或者减轻违法行为危害后果的。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一款第（八）项民办非企业单位有下列情形之一的，由登记管理机关予以警告，责令改正，可以限期停止活动；情节严重的，予以撤销登记；构成犯罪的，依法追究刑事责任：（八）违反国家有关规定收取费用、筹集资金或者接受使用捐赠、资助的；</w:t>
            </w:r>
          </w:p>
          <w:p>
            <w:pPr>
              <w:keepNext w:val="0"/>
              <w:keepLines w:val="0"/>
              <w:widowControl/>
              <w:suppressLineNumbers w:val="0"/>
              <w:spacing w:line="240" w:lineRule="auto"/>
              <w:ind w:firstLine="480" w:firstLineChars="20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i w:val="0"/>
                <w:iCs w:val="0"/>
                <w:color w:val="000000"/>
                <w:kern w:val="2"/>
                <w:sz w:val="24"/>
                <w:szCs w:val="24"/>
                <w:u w:val="none"/>
                <w:lang w:val="en-US" w:eastAsia="zh-CN" w:bidi="ar-SA"/>
              </w:rPr>
              <w:t>《民办非企业单位登记管理暂行条例》第二十五条第二款前款规定的行为有违法经营额或者违法所得的，予以没收，可以并处违法经营额1倍以上3倍以下或者违法所得3倍以上5倍以下的罚款。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sz w:val="24"/>
                <w:szCs w:val="24"/>
                <w:lang w:val="en-US" w:eastAsia="zh-CN"/>
              </w:rPr>
              <w:t>通过约谈进一步了解情况，指出问题，督促整改，</w:t>
            </w:r>
            <w:r>
              <w:rPr>
                <w:rFonts w:hint="eastAsia" w:ascii="仿宋_GB2312" w:hAnsi="仿宋_GB2312" w:eastAsia="仿宋_GB2312" w:cs="仿宋_GB2312"/>
                <w:i w:val="0"/>
                <w:iCs w:val="0"/>
                <w:color w:val="000000"/>
                <w:kern w:val="2"/>
                <w:sz w:val="24"/>
                <w:szCs w:val="24"/>
                <w:u w:val="none"/>
                <w:lang w:val="en-US" w:eastAsia="zh-CN" w:bidi="ar-SA"/>
              </w:rPr>
              <w:t>没收违法经营额或者违法所得，但不予罚款。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sz w:val="40"/>
                <w:szCs w:val="40"/>
                <w:lang w:val="en-US" w:eastAsia="zh-CN"/>
              </w:rPr>
              <w:t>消防救援大队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未经消防救援机构许可，擅自投入使用、营业的。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2、《中华人民共和国消防法》第十五条公众聚集场所在投入使用、营业前，建设单位或者使用单位应当向场所所在地的县级以上地方人民政府消防救援机构申请消防安全检查。</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消防救援机构应当自受理申请之日起十个工作日内，根据消防技术标准和管理规定，对该场所进行消防安全检查。未经消防安全检查或者经检查不符合消防安全要求的，不得投入使用、营业。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五十八条违反本法规定，有下列行为之一的，由住房和城乡建设主管部门、消防救援机构按照各自职权责令停止施工、停止使用或者停产停业，并处三万元以上三十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（一）依法应当进行消防设计审查的建设工程，未经依法审查或者审查不合格，擅自施工的；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（二）依法应当进行消防验收的建设工程，未经消防验收或者消防验收不合格，擅自投入使用的；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（三）本法第十三条规定的其他建设工程验收后经依法抽查不合格，不停止使用的；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（四）公众聚集场所未经消防救援机构许可，擅自投入使用、营业的，或者经核查发现场所使用、营业情况与承诺内容不符的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建设单位未依照本法规定在验收后报住房和城乡建设主管部门备案的，由住房和城乡建设主管部门责令改正，处五千元以下罚款。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核查发现公众聚集场所使用、营业情况与承诺内容不符，经责令限期改正，逾期不整改或者整改后仍达不到要求的，依法撤销相应许可。</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经核查发现场所使用、营业情况与承诺内容不符的。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2、《中华人民共和国消防法》第十五条公众聚集场所在投入使用、营业前，建设单位或者使用单位应当向场所所在地的县级以上地方人民政府消防救援机构申请消防安全检查。</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消防救援机构应当自受理申请之日起十个工作日内，根据消防技术标准和管理规定，对该场所进行消防安全检查。未经消防安全检查或者经检查不符合消防安全要求的，不得投入使用、营业。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五十八条违反本法规定，有下列行为之一的，由住房和城乡建设主管部门、消防救援机构按照各自职权责令停止施工、停止使用或者停产停业，并处三万元以上三十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（一）依法应当进行消防设计审查的建设工程，未经依法审查或者审查不合格，擅自施工的；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（二）依法应当进行消防验收的建设工程，未经消防验收或者消防验收不合格，擅自投入使用的；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（三）本法第十三条规定的其他建设工程验收后经依法抽查不合格，不停止使用的；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（四）公众聚集场所未经消防救援机构许可，擅自投入使用、营业的，或者经核查发现场所使用、营业情况与承诺内容不符的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建设单位未依照本法规定在验收后报住房和城乡建设主管部门备案的，由住房和城乡建设主管部门责令改正，处五千元以下罚款。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核查发现公众聚集场所使用、营业情况与承诺内容不符，经责令限期改正，逾期不整改或者整改后仍达不到要求的，依法撤销相应许可。</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消防设施、器材、消防安全标志配置、设置不符合标准及消防设施、器材、消防安全标志未保持完好有效的。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4</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损坏、挪用消防设施、器材及擅自拆除、停用消防设施、器材的。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5</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占用、堵塞、封闭疏散通道、安全出口及其他妨碍安全疏散行为的。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2、《中华人民共和国消防法》第十六条第一款、第二款机关、团体、企业、事业等单位应当履行下列消防安全职责：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（二）按照国家标准、行业标准配置消防设施、器材，设置消防安全标志，并定期组织检验、维修，确保完好有效；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6</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埋压、圈占、遮挡消火栓及占用防火间距的。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7</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占用、堵塞、封闭消防车通道，妨碍消防车通行的。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8</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人员密集场所在门窗上设置影响逃生和灭火救援的障碍物。</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八条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9</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对火灾隐患经消防救援机构通知后不及时采取措施消除的。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2、《中华人民共和国消防法》第十六条第一款机关、团体、企业、事业等单位应当履行下列消防安全职责：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（一）落实消防安全责任制，制定本单位的消防安全制度、消防安全操作规程，制定灭火和应急疏散预案。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3、《中华人民共和国消防法》第六十条单位违反本法规定，有下列行为之一的，责令改正，处五千元以上五万元以下罚款：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（一）消防设施、器材或者消防安全标志的配置、设置不符合国家标准、行业标准，或者未保持完好有效的；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（二）损坏、挪用或者擅自拆除、停用消防设施、器材的；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（三）占用、堵塞、封闭疏散通道、安全出口或者有其他妨碍安全疏散行为的；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（四）埋压、圈占、遮挡消火栓或者占用防火间距的；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（五）占用、堵塞、封闭消防车通道，妨碍消防车通行的；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（六）人员密集场所在门窗上设置影响逃生和灭火救援的障碍物的；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（七）对火灾隐患经消防救援机构通知后不及时采取措施消除的。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个人有前款第二项、第三项、第四项、第五项行为之一的，处警告或者五百元以下罚款。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有本条第一款第三项、第四项、第五项、第六项行为，经责令改正拒不改正的，强制执行，所需费用由违法行为人承担。</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10</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生产、储存、经营易燃易爆危险品的场所与居住场所设置在同一建筑内，或者未与居住场所保持安全距离的；生产、储存、经营其他物品的场所与居住场所设置在同一建筑内，不符合消防技术标准的。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2、《中华人民共和国消防法》第十九条生产、储存、经营易燃易爆危险品的场所不得与居住场所设置在同一建筑物内，并应当与居住场所保持安全距离。</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生产、储存、经营其他物品的场所与居住场所设置在同一建筑物内的，应当符合国家工程建设消防技术标准。</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3、《中华人民共和国消防法》第六十一条生产、储存、经营易燃易爆危险品的场所与居住场所设置在同一建筑物内，或者未与居住场所保持安全距离的，责令停产停业，并处五千元以上五万元以下罚款。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生产、储存、经营其他物品的场所与居住场所设置在同一建筑物内，不符合消防技术标准的，依照前款规定处罚。</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11</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违反消防安全规定进入生产、储存易燃易爆危险品场所的；违反规定使用明火作业或者在具有火灾、爆炸危险的场所吸烟、使用明火的。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一条第一款禁止在具有火灾、爆炸危险的场所吸烟、使用明火。因施工等特殊情况需要使用明火作业的，应当按照规定事先办理审批手续，采取相应的消防安全措施；作业人员应当遵守消防安全规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第二十三条第二款进入生产、储存易燃易爆危险品的场所，必须执行消防安全规定。禁止非法携带易燃易爆危险品进入公共场所或者乘坐公共交通工具。</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3、《中华人民共和国消防法》第六十三条违反本法规定，有下列行为之一的，处警告或者五百元以下罚款；情节严重的，处五日以下拘留：</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（一）违反消防安全规定进入生产、储存易燃易爆危险品场所的；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（二）违反规定使用明火作业或者在具有火灾、爆炸危险的场所吸烟、使用明火的。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12</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指使或者强令他人违反消防安全规定，冒险作业的。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一条禁止在具有火灾、爆炸危险的场所吸烟、使用明火。因施工等特殊情况需要使用明火作业的，应当按照规定事先办理审批手续，采取相应的消防安全措施；作业人员应当遵守消防安全规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进行电焊、气焊等具有火灾危险作业的人员和自动消防系统的操作人员，必须持证上岗，并遵守消防安全操作规程。</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13</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在火灾发生后阻拦报警，或者负有报告职责的人员不及时报警的；扰乱火灾现场秩序，或者拒不执行火灾现场指挥员指挥，影响灭火救援的。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2、《中华人民共和国消防法》第四十四条任何人发现火灾都应当立即报警。任何单位、个人都应当无偿为报警提供便利，不得阻拦报警。严禁谎报火警。</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第四十五条消防救援机构统一组织和指挥火灾现场扑救，应当优先保障遇险人员的生命安全。</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火灾现场总指挥根据扑救火灾的需要，有权决定下列事项：</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（一）使用各种水源；</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（二）截断电力、可燃气体和可燃液体的输送，限制用火用电；</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（三）划定警戒区，实行局部交通管制；</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（四）利用临近建筑物和有关设施；</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（五）为了抢救人员和重要物资，防止火势蔓延，拆除或者破损毗邻火灾现场的建筑物、构筑物或者设施等；</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（六）调动供水、供电、供气、通信、医疗救护、交通运输、环境保护等有关单位协助灭火救援。</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根据扑救火灾的紧急需要，有关地方人民政府应当组织人员、调集所需物资支援灭火。</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14</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故意破坏或者伪造火灾现场的。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2、《中华人民共和国消防法》第五十一条第二款火灾扑灭后，发生火灾的单位和相关人员应当按照消防救援机构的要求保护现场，接受事故调查，如实提供与火灾有关的情况。</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3、《中华人民共和国消防法》第六十四条 违反本法规定，有下列行为之一，尚不构成犯罪的，处十日以上十五日以下拘留，可以并处五百元以下罚款；情节较轻的，处警告或者五百元以下罚款：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（一）指使或者强令他人违反消防安全规定，冒险作业的；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（二）过失引起火灾的；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（三）在火灾发生后阻拦报警，或者负有报告职责的人员不及时报警的；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（四）扰乱火灾现场秩序，或者拒不执行火灾现场指挥员指挥，影响灭火救援的；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（五）故意破坏或者伪造火灾现场的；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（六）擅自拆封或者使用被消防救援机构查封的场所、部位的。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15</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人员密集场所使用不合格或者国家明令淘汰的消防产品逾期未改。</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2、《中华人民共和国消防法》第二十四条第一款消防产品必须符合国家标准；没有国家标准的，必须符合行业标准。禁止生产、销售或者使用不合格的消防产品以及国家明令淘汰的消防产品。</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五条违反本法规定，生产、销售不合格的消防产品或者国家明令淘汰的消防产品的，由产品质量监督部门或者工商行政管理部门依照《中华人民共和国产品质量法》的规定从重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人员密集场所使用不合格的消防产品或者国家明令淘汰的消防产品的，责令限期改正；逾期不改正的，处五千元以上五万元以下罚款，并对其直接负责的主管人员和其他直接责任人员处五百元以上二千元以下罚款；情节严重的，责令停产停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救援机构对于本条第二款规定的情形，除依法对使用者予以处罚外，应当将发现不合格的消防产品和国家明令淘汰的消防产品的情况通报产品质量监督部门、工商行政管理部门。产品质量监督部门、工商行政管理部门应当对生产者、销售者依法及时查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16</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非人员密集场所使用不符合市场准入、不合格、国家明令淘汰的消防产品逾期未改。</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2、《中华人民共和国消防法》第二十四条第一款消防产品必须符合国家标准；没有国家标准的，必须符合行业标准。禁止生产、销售或者使用不合格的消防产品以及国家明令淘汰的消防产品。</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3、《消防产品监督管理规定》第三十六条人员密集场所使用不符合市场准入的消防产品的，由公安机关消防机构责令限期改正；逾期不改正的，依照《中华人民共和国消防法》第六十五条第二款处罚。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非人员密集场所使用不符合市场准入的消防产品、不合格的消防产品或者国家明令淘汰的消防产品的，由公安机关消防机构责令限期改正；逾期不改正的，对非经营性场所处五百元以上一千元以下罚款，对经营性场所处五千元以上一万元以下罚款，并对直接负责的主管人员和其他直接责任人员处五百元以下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17</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电器产品、燃气用具的安装、使用及其线路、管路的设计、敷设、维护保养、检测不符合消防技术标准和管理规定，逾期不改正的。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2、《中华人民共和国消防法》第二十七条电器产品、燃气用具的产品标准，应当符合消防安全的要求。</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电器产品、燃气用具的安装、使用及其线路、管路的设计、敷设、维护保养、检测，必须符合消防技术标准和管理规定。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六条电器产品、燃气用具的安装、使用及其线路、管路的设计、敷设、维护保养、检测不符合消防技术标准和管理规定的，责令限期改正；逾期不改正的，责令停止使用，可以并处一千元以上五千元以下罚款。</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18</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消防设施维护保养检测、消防安全评估等消防技术服务机构，不具备从业条件从事消防技术服务活动或者出具虚假文件的。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消防产品质量认证、消防设施检测、消防安全监测等消防技术服务机构和执业人员，应当依法获得相应的资质、资格；依照法律、行政法规、国家标准、行业标准和执业准则，接受委托提供消防技术服务，并对服务质量负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九条消防设施维护保养检测、消防安全评估等消防技术服务机构，不具备从业条件从事消防技术服务活动或者出具虚假文件的，由消防救援机构责令改正，处五万元以上十万元以下罚款，并对直接负责的主管人员和其他直接责任人员处一万元以上五万元以下罚款；不按照国家标准、行业标准开展消防技术服务活动的，责令改正，处五万元以下罚款，并对直接负责的主管人员和其他直接责任人员处一万元以下罚款；有违法所得的，并处没收违法所得；给他人造成损失的，依法承担赔偿责任；情节严重的，依法责令停止执业或者吊销相应资格；造成重大损失的，由相关部门吊销营业执照，并对有关责任人员采取终身市场禁入措施。</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前款规定的机构出具失实文件，给他人造成损失的，依法承担赔偿责任；造成重大损失的，由消防救援机构依法责令停止执业或者吊销相应资格，由相关部门吊销营业执照，并对有关责任人员采取终身市场禁入措施。</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19</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不按照国家标准、行业标准开展消防技术服务活动的。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中华人民共和国消防法》第三十四条消防产品质量认证、消防设施检测、消防安全监测等消防技术服务机构和执业人员，应当依法获得相应的资质、资格；依照法律、行政法规、国家标准、行业标准和执业准则，接受委托提供消防技术服务，并对服务质量负责。</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中华人民共和国消防法》第六十九条消防设施维护保养检测、消防安全评估等消防技术服务机构，不具备从业条件从事消防技术服务活动或者出具虚假文件的，由消防救援机构责令改正，处五万元以上十万元以下罚款，并对直接负责的主管人员和其他直接责任人员处一万元以上五万元以下罚款；不按照国家标准、行业标准开展消防技术服务活动的，责令改正，处五万元以下罚款，并对直接负责的主管人员和其他直接责任人员处一万元以下罚款；有违法所得的，并处没收违法所得；给他人造成损失的，依法承担赔偿责任；情节严重的，依法责令停止执业或者吊销相应资格；造成重大损失的，由相关部门吊销营业执照，并对有关责任人员采取终身市场禁入措施。</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前款规定的机构出具失实文件，给他人造成损失的，依法承担赔偿责任；造成重大损失的，由消防救援机构依法责令停止执业或者吊销相应资格，由相关部门吊销营业执照，并对有关责任人员采取终身市场禁入措施。</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20</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在高层民用建筑内进行电焊、气焊等明火作业，未履行动火审批手续、进行公告，或者未落实消防现场监护措施的。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十五条高层民用建筑的业主、使用人或者物业服务企业、统一管理人应当对动用明火作业实行严格的消防安全管理，不得在具有火灾、爆炸危险的场所使用明火；因施工等特殊情况需要进行电焊、气焊等明火作业的，应当按照规定办理动火审批手续，落实现场监护人，配备消防器材，并在建筑主入口和作业现场显著位置公告。作业人员应当依法持证上岗，严格遵守消防安全规定，清除周围及下方的易燃、可燃物，采取防火隔离措施。作业完毕后，应当进行全面检查，消除遗留火种。</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高层公共建筑内的商场、公共娱乐场所不得在营业期间动火施工。</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高层公共建筑内应当确定禁火禁烟区域，并设置明显标志。</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21</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高层民用建筑设置的户外广告牌、外装饰妨碍防烟排烟、逃生和灭火救援，或者改变、破坏建筑立面防火结构的。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2、《高层民用建筑消防安全管理规定》第二十一条高层民用建筑的户外广告牌、外装饰不得采用易燃、可燃材料，不得妨碍防烟排烟、逃生和灭火救援，不得改变或者破坏建筑立面防火结构。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禁止在高层民用建筑外窗设置影响逃生和灭火救援的障碍物。</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xml:space="preserve">建筑高度超过50米的高层民用建筑外墙上设置的装饰、广告牌应当采用不燃材料并易于破拆。 </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22</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高层民用建筑未设置外墙外保温材料提示性和警示性标识，或者未及时修复破损、开裂和脱落的外墙外保温系统的。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十九条设有建筑外墙外保温系统的高层民用建筑，其管理单位应当在主入口及周边相关显著位置，设置提示性和警示性标识，标示外墙外保温材料的燃烧性能、防火要求。对高层民用建筑外墙外保温系统破损、开裂和脱落的，应当及时修复。高层民用建筑在进行外墙外保温系统施工时，建设单位应当采取必要的防火隔离以及限制住人和使用的措施，确保建筑内人员安全。</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禁止使用易燃、可燃材料作为高层民用建筑外墙外保温材料。禁止在其建筑内及周边禁放区域燃放烟花爆竹；禁止在其外墙周围堆放可燃物。对于使用难燃外墙外保温材料或者采用与基层墙体、装饰层之间有空腔的建筑外墙外保温系统的高层民用建筑，禁止在其外墙动火用电。</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23</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高层民用建筑未按照规定落实消防控制室值班制度，或者安排不具备相应条件的人员值班的。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2、《高层民用建筑消防安全管理规定》第二十六条高层民用建筑消防控制室应当由其管理单位实行24小时值班制度，每班不应少于2名值班人员。</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消防控制室值班操作人员应当依法取得相应等级的消防行业特有工种职业资格证书，熟练掌握火警处置程序和要求，按照有关规定检查自动消防设施、联动控制设备运行情况，确保其处于正常工作状态。</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消防控制室内应当保存高层民用建筑总平面布局图、平面布置图和消防设施系统图及控制逻辑关系说明、建筑消防设施维修保养记录和检测报告等资料。</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24</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高层民用建筑未按照规定建立专职消防队、志愿消防队等消防组织的。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二十七条高层公共建筑内有关单位、高层住宅建筑所在社区居民委员会或者物业服务企业按照规定建立的专职消防队、志愿消防队（微型消防站）等消防组织，应当配备必要的人员、场所和器材、装备，定期进行消防技能培训和演练，开展防火巡查、消防宣传，及时处置、扑救初起火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25</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高层民用建筑因维修等需要停用建筑消防设施未进行公告、未制定应急预案或者未落实防范措施的。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三十二条不具备自主维护保养检测能力的高层民用建筑业主、使用人或者物业服务企业应当聘请具备从业条件的消防技术服务机构或者消防设施施工安装企业对建筑消防设施进行维护保养和检测；存在故障、缺损的，应当立即组织维修、更换，确保完好有效。</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因维修等需要停用建筑消防设施的，高层民用建筑的管理单位应当严格履行内部审批手续，制定应急方案，落实防范措施，并在建筑入口处等显著位置公告。</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26</w:t>
            </w:r>
          </w:p>
        </w:tc>
        <w:tc>
          <w:tcPr>
            <w:tcW w:w="848"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在高层民用建筑的公共门厅、疏散走道、楼梯间、安全出口停放电动自行车或者为电动自行车充电，拒不改正的。</w:t>
            </w:r>
          </w:p>
        </w:tc>
        <w:tc>
          <w:tcPr>
            <w:tcW w:w="143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违法行为人有下列情形之一的，应当依法从轻或者减轻处罚：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（一）主动消除或者减轻消防安全违法行为危害后果的；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（二）已满十四周岁不满十八周岁的未成年人实施消防安全违法行为的；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（三）尚未完全丧失辨认或者控制自己行为能力的精神病人、智力残疾人实施消防安全违法行为的；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（四）受他人胁迫或者诱骗实施消防安全违法行为的；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（五）配合消防救援机构查处消防安全违法行为，有立功表现的；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（六）其他依法应当从轻处罚或者减轻处罚的情形。</w:t>
            </w:r>
          </w:p>
        </w:tc>
        <w:tc>
          <w:tcPr>
            <w:tcW w:w="1950"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1、《中华人民共和国行政处罚法》第三十二条当事人有下列情形之一，应当从轻或者减轻行政处罚：</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（一）主动消除或者减轻违法行为危害后果的；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（二）受他人胁迫或者诱骗实施违法行为的；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（三）主动供述行政机关尚未掌握的违法行为的；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（四）配合行政机关查处违法行为有立功表现的；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　　（五）法律、法规、规章规定其他应当从轻或者减轻行政处罚的。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2、《高层民用建筑消防安全管理规定》第三十七条禁止在高层民用建筑公共门厅、疏散走道、楼梯间、安全出口停放电动自行车或者为电动自行车充电。</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鼓励在高层住宅小区内设置电动自行车集中存放和充电的场所。电动自行车存放、充电场所应当独立设置，并与高层民用建筑保持安全距离；确需设置在高层民用建筑内的，应当与该建筑的其他部分进行防火分隔。</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电动自行车存放、充电场所应当配备必要的消防器材，充电设施应当具备充满自动断电功能。</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3、《高层民用建筑消防安全管理规定》第四十七条 违反本规定，有下列行为之一的，由消防救援机构责令改正，对经营性单位和个人处2000元以上10000元以下罚款，对非经营性单位和个人处500元以上1000元以下罚款：</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（一）在高层民用建筑内进行电焊、气焊等明火作业，未履行动火审批手续、进行公告，或者未落实消防现场监护措施的；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（二）高层民用建筑设置的户外广告牌、外装饰妨碍防烟排烟、逃生和灭火救援，或者改变、破坏建筑立面防火结构的；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（三）未设置外墙外保温材料提示性和警示性标识，或者未及时修复破损、开裂和脱落的外墙外保温系统的；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（四）未按照规定落实消防控制室值班制度，或者安排不具备相应条件的人员值班的；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（五）未按照规定建立专职消防队、志愿消防队等消防组织的；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（六）因维修等需要停用建筑消防设施未进行公告、未制定应急预案或者未落实防范措施的；</w:t>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br w:type="textWrapping"/>
            </w: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（七）在高层民用建筑的公共门厅、疏散走道、楼梯间、安全出口停放电动自行车或者为电动自行车充电，拒不改正的。</w:t>
            </w:r>
          </w:p>
        </w:tc>
        <w:tc>
          <w:tcPr>
            <w:tcW w:w="506" w:type="pct"/>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对当事人进行批评教育，责令限期整改、当事人应承诺同类型问题不在违反，填写《消防监督检查记录》。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caps w:val="0"/>
                <w:color w:val="auto"/>
                <w:spacing w:val="0"/>
                <w:kern w:val="0"/>
                <w:sz w:val="40"/>
                <w:szCs w:val="40"/>
                <w:shd w:val="clear" w:color="auto" w:fill="FFFFFF"/>
                <w:lang w:val="en-US" w:eastAsia="zh-CN" w:bidi="ar"/>
              </w:rPr>
              <w:t>文化旅游广电局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259" w:type="pct"/>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序号</w:t>
            </w:r>
          </w:p>
        </w:tc>
        <w:tc>
          <w:tcPr>
            <w:tcW w:w="848"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违法行为</w:t>
            </w:r>
          </w:p>
        </w:tc>
        <w:tc>
          <w:tcPr>
            <w:tcW w:w="1436"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从轻处罚的情形</w:t>
            </w:r>
          </w:p>
        </w:tc>
        <w:tc>
          <w:tcPr>
            <w:tcW w:w="1950" w:type="pct"/>
            <w:gridSpan w:val="2"/>
            <w:vAlign w:val="center"/>
          </w:tcPr>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法律依据</w:t>
            </w:r>
          </w:p>
        </w:tc>
        <w:tc>
          <w:tcPr>
            <w:tcW w:w="506" w:type="pct"/>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sz w:val="24"/>
                <w:szCs w:val="24"/>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shd w:val="solid" w:color="FFFFFF" w:fill="auto"/>
              <w:kinsoku/>
              <w:autoSpaceDE/>
              <w:autoSpaceDN w:val="0"/>
              <w:jc w:val="center"/>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i w:val="0"/>
                <w:snapToGrid/>
                <w:color w:val="000000"/>
                <w:sz w:val="24"/>
                <w:szCs w:val="24"/>
                <w:u w:val="none"/>
                <w:shd w:val="clear" w:color="auto" w:fill="FFFFFF"/>
              </w:rPr>
              <w:t>1</w:t>
            </w:r>
          </w:p>
        </w:tc>
        <w:tc>
          <w:tcPr>
            <w:tcW w:w="848"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互联网上网服务营业场所擅自停止实施经营管理技术措施</w:t>
            </w:r>
          </w:p>
        </w:tc>
        <w:tc>
          <w:tcPr>
            <w:tcW w:w="1436"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i w:val="0"/>
                <w:snapToGrid/>
                <w:color w:val="000000"/>
                <w:sz w:val="24"/>
                <w:szCs w:val="24"/>
                <w:u w:val="none"/>
                <w:shd w:val="clear" w:color="auto" w:fill="FFFFFF"/>
              </w:rPr>
              <w:t>同时符合以下条件：</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1.初次违法；</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2.主动消除或者减轻违法行为危害后果的；</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3.立即自行改正或在责令改正的期限内改正。</w:t>
            </w:r>
          </w:p>
        </w:tc>
        <w:tc>
          <w:tcPr>
            <w:tcW w:w="1950"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《互联网上网服务营业场所管理条例》</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i w:val="0"/>
                <w:snapToGrid/>
                <w:color w:val="000000"/>
                <w:sz w:val="24"/>
                <w:szCs w:val="24"/>
                <w:u w:val="none"/>
                <w:shd w:val="clear" w:color="auto" w:fill="FFFFFF"/>
              </w:rPr>
              <w:t>第十九条　互联网上网服务营业场所经营单位应当实施经营管理技术措施，建立场内巡查制度，发现上网消费者有本条例第十四条、第十五条、第十八条所列行为或者有其他违法行为的，应当立即予以制止并向文化行政部门、公安机关举报。</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bCs/>
                <w:i w:val="0"/>
                <w:snapToGrid/>
                <w:color w:val="000000"/>
                <w:sz w:val="24"/>
                <w:szCs w:val="24"/>
                <w:u w:val="none"/>
                <w:shd w:val="clear" w:color="auto" w:fill="FFFFFF"/>
              </w:rPr>
              <w:t>第三十一条</w:t>
            </w:r>
            <w:r>
              <w:rPr>
                <w:rFonts w:hint="eastAsia" w:ascii="仿宋_GB2312" w:hAnsi="仿宋_GB2312" w:eastAsia="仿宋_GB2312" w:cs="仿宋_GB2312"/>
                <w:b/>
                <w:i w:val="0"/>
                <w:snapToGrid/>
                <w:color w:val="000000"/>
                <w:sz w:val="24"/>
                <w:szCs w:val="24"/>
                <w:u w:val="none"/>
                <w:shd w:val="clear" w:color="auto" w:fill="FFFFFF"/>
              </w:rPr>
              <w:t>　</w:t>
            </w:r>
            <w:r>
              <w:rPr>
                <w:rFonts w:hint="eastAsia" w:ascii="仿宋_GB2312" w:hAnsi="仿宋_GB2312" w:eastAsia="仿宋_GB2312" w:cs="仿宋_GB2312"/>
                <w:b w:val="0"/>
                <w:i w:val="0"/>
                <w:snapToGrid/>
                <w:color w:val="000000"/>
                <w:sz w:val="24"/>
                <w:szCs w:val="24"/>
                <w:u w:val="none"/>
                <w:shd w:val="clear" w:color="auto" w:fill="FFFFFF"/>
              </w:rPr>
              <w:t>互联网上网服务营业场所经营单位违反本条例的规定，有下列行为之一的，由文化行政部门给予警告，可以并处15000元以下的罚款；情节严重的，责令停业整顿，直至吊销《网络文化经营许可证》：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i w:val="0"/>
                <w:snapToGrid/>
                <w:color w:val="000000"/>
                <w:sz w:val="24"/>
                <w:szCs w:val="24"/>
                <w:u w:val="none"/>
                <w:shd w:val="clear" w:color="auto" w:fill="FFFFFF"/>
              </w:rPr>
              <w:t>（四）擅自停止实施经营管理技术措施的。</w:t>
            </w:r>
          </w:p>
        </w:tc>
        <w:tc>
          <w:tcPr>
            <w:tcW w:w="506"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9" w:type="pct"/>
            <w:vAlign w:val="center"/>
          </w:tcPr>
          <w:p>
            <w:pPr>
              <w:shd w:val="solid" w:color="FFFFFF" w:fill="auto"/>
              <w:kinsoku/>
              <w:autoSpaceDE/>
              <w:autoSpaceDN w:val="0"/>
              <w:jc w:val="center"/>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2</w:t>
            </w:r>
          </w:p>
        </w:tc>
        <w:tc>
          <w:tcPr>
            <w:tcW w:w="848"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shd w:val="clear" w:color="auto" w:fill="FFFFFF"/>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互联网上网服务营业场所未建立场内巡查制度，或者发现上网消费者的违法行为未予制止并向文化行政部门、公安机关举报</w:t>
            </w:r>
          </w:p>
        </w:tc>
        <w:tc>
          <w:tcPr>
            <w:tcW w:w="1436"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同时符合以下条件：</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1.初次违法；</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2.主动消除或者减轻违法行为危害后果的；</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3.主动整改或积极配合相关部门进行查处，未造成其他不良影响的。</w:t>
            </w:r>
          </w:p>
        </w:tc>
        <w:tc>
          <w:tcPr>
            <w:tcW w:w="1950"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《互联网上网服务营业场所管理条例》</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第十九条　互联网上网服务营业场所经营单位应当实施经营管理技术措施，建立场内巡查制度，发现上网消费者有本条例第十四条、第十五条、第十八条所列行为或者有其他违法行为的，应当立即予以制止并向文化行政部门、公安机关举报。</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第三十三条 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（二）未建立场内巡查制度，或者发现上网消费者的违法行为未予制止并向文化行政部门、公安机关举报的。</w:t>
            </w:r>
          </w:p>
        </w:tc>
        <w:tc>
          <w:tcPr>
            <w:tcW w:w="506" w:type="pct"/>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shd w:val="solid" w:color="FFFFFF" w:fill="auto"/>
              <w:kinsoku/>
              <w:autoSpaceDE/>
              <w:autoSpaceDN w:val="0"/>
              <w:jc w:val="center"/>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3</w:t>
            </w:r>
          </w:p>
        </w:tc>
        <w:tc>
          <w:tcPr>
            <w:tcW w:w="0" w:type="auto"/>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shd w:val="clear" w:color="auto" w:fill="FFFFFF"/>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旅行社未妥善保存各类旅游合同及相关文件、资料，保存期不够两年，或者泄露旅游者个人信息的</w:t>
            </w:r>
          </w:p>
        </w:tc>
        <w:tc>
          <w:tcPr>
            <w:tcW w:w="0" w:type="auto"/>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同时符合以下条件：</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1.初次违法；</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2.主动消除或者减轻违法行为危害后果的；</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3.在责令改正的期限内改正；</w:t>
            </w:r>
            <w:r>
              <w:rPr>
                <w:rFonts w:hint="eastAsia" w:ascii="仿宋_GB2312" w:hAnsi="仿宋_GB2312" w:eastAsia="仿宋_GB2312" w:cs="仿宋_GB2312"/>
                <w:b w:val="0"/>
                <w:i w:val="0"/>
                <w:snapToGrid/>
                <w:color w:val="000000"/>
                <w:sz w:val="24"/>
                <w:szCs w:val="24"/>
                <w:u w:val="none"/>
                <w:shd w:val="clear" w:color="auto" w:fill="FFFFFF"/>
              </w:rPr>
              <w:br w:type="textWrapping"/>
            </w:r>
            <w:r>
              <w:rPr>
                <w:rFonts w:hint="eastAsia" w:ascii="仿宋_GB2312" w:hAnsi="仿宋_GB2312" w:eastAsia="仿宋_GB2312" w:cs="仿宋_GB2312"/>
                <w:b w:val="0"/>
                <w:i w:val="0"/>
                <w:snapToGrid/>
                <w:color w:val="000000"/>
                <w:sz w:val="24"/>
                <w:szCs w:val="24"/>
                <w:u w:val="none"/>
                <w:shd w:val="clear" w:color="auto" w:fill="FFFFFF"/>
              </w:rPr>
              <w:t>4.未借机牟利并造成严重后果。</w:t>
            </w:r>
          </w:p>
        </w:tc>
        <w:tc>
          <w:tcPr>
            <w:tcW w:w="0" w:type="auto"/>
            <w:gridSpan w:val="2"/>
            <w:vAlign w:val="center"/>
          </w:tcPr>
          <w:p>
            <w:pPr>
              <w:shd w:val="solid" w:color="FFFFFF" w:fill="auto"/>
              <w:kinsoku/>
              <w:autoSpaceDE/>
              <w:autoSpaceDN w:val="0"/>
              <w:jc w:val="left"/>
              <w:textAlignment w:val="center"/>
              <w:rPr>
                <w:rFonts w:hint="eastAsia" w:ascii="仿宋_GB2312" w:hAnsi="仿宋_GB2312" w:eastAsia="仿宋_GB2312" w:cs="仿宋_GB2312"/>
                <w:b/>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《旅行社条例实施细则》</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i w:val="0"/>
                <w:snapToGrid/>
                <w:color w:val="000000"/>
                <w:sz w:val="24"/>
                <w:szCs w:val="24"/>
                <w:u w:val="none"/>
                <w:shd w:val="clear" w:color="auto" w:fill="FFFFFF"/>
              </w:rPr>
              <w:t>第五十条　旅行社应当妥善保存《条例》规定的招徕、组织、接待旅游者的各类合同及相关文件、资料，以备县级以上旅游行政管理部门核查。</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i w:val="0"/>
                <w:snapToGrid/>
                <w:color w:val="000000"/>
                <w:sz w:val="24"/>
                <w:szCs w:val="24"/>
                <w:u w:val="none"/>
                <w:shd w:val="clear" w:color="auto" w:fill="FFFFFF"/>
              </w:rPr>
              <w:t>　　前款所称的合同及文件、资料的保存期，应当不少于两年。</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i w:val="0"/>
                <w:snapToGrid/>
                <w:color w:val="000000"/>
                <w:sz w:val="24"/>
                <w:szCs w:val="24"/>
                <w:u w:val="none"/>
                <w:shd w:val="clear" w:color="auto" w:fill="FFFFFF"/>
              </w:rPr>
              <w:t>　　旅行社不得向其他经营者或者个人，泄露旅游者因签订旅游合同提供的个人信息；超过保存期限的旅游者个人信息资料，应当妥善销毁。</w:t>
            </w:r>
            <w:r>
              <w:rPr>
                <w:rFonts w:hint="eastAsia" w:ascii="仿宋_GB2312" w:hAnsi="仿宋_GB2312" w:eastAsia="仿宋_GB2312" w:cs="仿宋_GB2312"/>
                <w:sz w:val="24"/>
                <w:szCs w:val="24"/>
              </w:rPr>
              <w:br w:type="textWrapping"/>
            </w:r>
            <w:r>
              <w:rPr>
                <w:rFonts w:hint="eastAsia" w:ascii="仿宋_GB2312" w:hAnsi="仿宋_GB2312" w:eastAsia="仿宋_GB2312" w:cs="仿宋_GB2312"/>
                <w:b w:val="0"/>
                <w:bCs/>
                <w:i w:val="0"/>
                <w:snapToGrid/>
                <w:color w:val="000000"/>
                <w:sz w:val="24"/>
                <w:szCs w:val="24"/>
                <w:u w:val="none"/>
                <w:shd w:val="clear" w:color="auto" w:fill="FFFFFF"/>
              </w:rPr>
              <w:t>第六十五条</w:t>
            </w:r>
            <w:r>
              <w:rPr>
                <w:rFonts w:hint="eastAsia" w:ascii="仿宋_GB2312" w:hAnsi="仿宋_GB2312" w:eastAsia="仿宋_GB2312" w:cs="仿宋_GB2312"/>
                <w:b w:val="0"/>
                <w:i w:val="0"/>
                <w:snapToGrid/>
                <w:color w:val="000000"/>
                <w:sz w:val="24"/>
                <w:szCs w:val="24"/>
                <w:u w:val="none"/>
                <w:shd w:val="clear" w:color="auto" w:fill="FFFFFF"/>
              </w:rPr>
              <w:t>　违反本实施细则第五十条的规定，未妥善保存各类旅游合同及相关文件、资料，保存期不够两年，或者泄露旅游者个人信息的，由县级以上旅游行政管理部门责令改正，没收违法所得，处违法所得3倍以下但最高不超过3万元的罚款；没有违法所得的，处1万元以下的罚款。</w:t>
            </w:r>
          </w:p>
        </w:tc>
        <w:tc>
          <w:tcPr>
            <w:tcW w:w="0" w:type="auto"/>
            <w:gridSpan w:val="2"/>
            <w:vAlign w:val="center"/>
          </w:tcPr>
          <w:p>
            <w:pPr>
              <w:shd w:val="solid" w:color="FFFFFF" w:fill="auto"/>
              <w:kinsoku/>
              <w:autoSpaceDE/>
              <w:autoSpaceDN w:val="0"/>
              <w:jc w:val="left"/>
              <w:textAlignment w:val="center"/>
              <w:rPr>
                <w:rFonts w:hint="eastAsia" w:ascii="仿宋_GB2312" w:hAnsi="仿宋_GB2312" w:eastAsia="仿宋_GB2312" w:cs="仿宋_GB2312"/>
                <w:b w:val="0"/>
                <w:i w:val="0"/>
                <w:snapToGrid/>
                <w:color w:val="000000"/>
                <w:kern w:val="2"/>
                <w:sz w:val="24"/>
                <w:szCs w:val="24"/>
                <w:u w:val="none"/>
                <w:lang w:val="en-US" w:eastAsia="zh-CN" w:bidi="ar-SA"/>
              </w:rPr>
            </w:pPr>
            <w:r>
              <w:rPr>
                <w:rFonts w:hint="eastAsia" w:ascii="仿宋_GB2312" w:hAnsi="仿宋_GB2312" w:eastAsia="仿宋_GB2312" w:cs="仿宋_GB2312"/>
                <w:b w:val="0"/>
                <w:i w:val="0"/>
                <w:snapToGrid/>
                <w:color w:val="000000"/>
                <w:sz w:val="24"/>
                <w:szCs w:val="24"/>
                <w:u w:val="none"/>
                <w:shd w:val="clear" w:color="auto" w:fill="FFFFFF"/>
              </w:rPr>
              <w:t>观察、说服教育、谈话提醒、回访督促、行政指导、行政告诫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widowControl w:val="0"/>
              <w:spacing w:after="120" w:afterLines="0"/>
              <w:jc w:val="center"/>
              <w:rPr>
                <w:rFonts w:hint="eastAsia" w:ascii="仿宋_GB2312" w:hAnsi="仿宋_GB2312" w:eastAsia="仿宋_GB2312" w:cs="仿宋_GB2312"/>
                <w:b/>
                <w:bCs/>
                <w:i w:val="0"/>
                <w:snapToGrid/>
                <w:color w:val="000000"/>
                <w:sz w:val="24"/>
                <w:szCs w:val="24"/>
                <w:u w:val="none"/>
                <w:shd w:val="clear" w:color="auto" w:fill="FFFFFF"/>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kern w:val="2"/>
                <w:sz w:val="40"/>
                <w:szCs w:val="40"/>
                <w:lang w:val="en-US" w:eastAsia="zh-CN" w:bidi="ar-SA"/>
              </w:rPr>
              <w:t>人力资源和社会保障局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以欺诈、伪造证明材料或者其他手段骗取社会保险待遇，骗取社会保险待遇数额超过5000元在8000元以下的。</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主动消除或者减轻违法行为危害后果。</w:t>
            </w:r>
          </w:p>
        </w:tc>
        <w:tc>
          <w:tcPr>
            <w:tcW w:w="0" w:type="auto"/>
            <w:gridSpan w:val="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《中华人民共和国社会保险法》第八十八条</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责令退回骗取的社会保险金，处骗取金额2.5倍罚款，给予口头警告，行政告诫、说服教育。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2</w:t>
            </w:r>
          </w:p>
        </w:tc>
        <w:tc>
          <w:tcPr>
            <w:tcW w:w="0" w:type="auto"/>
            <w:gridSpan w:val="2"/>
            <w:vAlign w:val="center"/>
          </w:tcPr>
          <w:p>
            <w:pPr>
              <w:pStyle w:val="2"/>
              <w:spacing w:line="240" w:lineRule="auto"/>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用人单位违反劳动保障法律、法规或者规章延长劳动者工作时。</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left"/>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主动消除或者减轻违法行为危害后果。</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《劳动保障监察条例》第二十五条</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both"/>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给予口头警告，责令限期改正，按每涉及1人处100元罚款。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9"/>
            <w:vAlign w:val="center"/>
          </w:tcPr>
          <w:p>
            <w:pPr>
              <w:keepNext w:val="0"/>
              <w:keepLines w:val="0"/>
              <w:pageBreakBefore w:val="0"/>
              <w:widowControl w:val="0"/>
              <w:kinsoku/>
              <w:wordWrap/>
              <w:overflowPunct/>
              <w:topLinePunct w:val="0"/>
              <w:autoSpaceDE/>
              <w:autoSpaceDN/>
              <w:bidi w:val="0"/>
              <w:adjustRightInd/>
              <w:snapToGrid/>
              <w:spacing w:after="120" w:afterLines="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bCs/>
                <w:color w:val="auto"/>
                <w:sz w:val="40"/>
                <w:szCs w:val="40"/>
                <w:lang w:eastAsia="zh-CN"/>
              </w:rPr>
              <w:t>根河市</w:t>
            </w:r>
            <w:r>
              <w:rPr>
                <w:rFonts w:hint="eastAsia" w:ascii="仿宋_GB2312" w:hAnsi="仿宋_GB2312" w:eastAsia="仿宋_GB2312" w:cs="仿宋_GB2312"/>
                <w:b/>
                <w:bCs/>
                <w:i w:val="0"/>
                <w:snapToGrid/>
                <w:color w:val="000000"/>
                <w:sz w:val="40"/>
                <w:szCs w:val="40"/>
                <w:u w:val="none"/>
                <w:shd w:val="clear" w:color="auto" w:fill="FFFFFF"/>
                <w:lang w:eastAsia="zh-CN"/>
              </w:rPr>
              <w:t>工业和信息化局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序号</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违法行为</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从轻处罚的情形</w:t>
            </w:r>
          </w:p>
        </w:tc>
        <w:tc>
          <w:tcPr>
            <w:tcW w:w="0" w:type="auto"/>
            <w:gridSpan w:val="2"/>
            <w:vAlign w:val="center"/>
          </w:tcPr>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法律依据</w:t>
            </w:r>
          </w:p>
        </w:tc>
        <w:tc>
          <w:tcPr>
            <w:tcW w:w="0" w:type="auto"/>
            <w:gridSpan w:val="2"/>
            <w:vAlign w:val="center"/>
          </w:tcPr>
          <w:p>
            <w:pPr>
              <w:widowControl/>
              <w:autoSpaceDE w:val="0"/>
              <w:jc w:val="center"/>
              <w:rPr>
                <w:rFonts w:hint="eastAsia" w:ascii="仿宋_GB2312" w:hAnsi="仿宋_GB2312" w:eastAsia="仿宋_GB2312" w:cs="仿宋_GB2312"/>
                <w:b/>
                <w:kern w:val="0"/>
                <w:sz w:val="24"/>
                <w:szCs w:val="24"/>
              </w:rPr>
            </w:pPr>
            <w:r>
              <w:rPr>
                <w:rFonts w:hint="eastAsia" w:ascii="仿宋_GB2312" w:hAnsi="仿宋_GB2312" w:eastAsia="仿宋_GB2312" w:cs="仿宋_GB2312"/>
                <w:b/>
                <w:kern w:val="0"/>
                <w:sz w:val="24"/>
                <w:szCs w:val="24"/>
              </w:rPr>
              <w:t>配套监管</w:t>
            </w:r>
          </w:p>
          <w:p>
            <w:pPr>
              <w:widowControl/>
              <w:autoSpaceDE w:val="0"/>
              <w:jc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kern w:val="0"/>
                <w:sz w:val="24"/>
                <w:szCs w:val="24"/>
              </w:rPr>
              <w:t>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t>1</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sz w:val="24"/>
                <w:szCs w:val="24"/>
                <w:lang w:val="en-US" w:eastAsia="zh-CN"/>
              </w:rPr>
            </w:pPr>
            <w:r>
              <w:rPr>
                <w:rFonts w:hint="eastAsia" w:ascii="仿宋_GB2312" w:hAnsi="Calibri" w:eastAsia="仿宋_GB2312" w:cs="仿宋_GB2312"/>
                <w:sz w:val="24"/>
                <w:szCs w:val="24"/>
              </w:rPr>
              <w:t>非食盐定点批发企业经营食盐批发业务</w:t>
            </w:r>
          </w:p>
          <w:p>
            <w:pPr>
              <w:pStyle w:val="2"/>
              <w:spacing w:line="240" w:lineRule="auto"/>
              <w:jc w:val="left"/>
              <w:rPr>
                <w:rFonts w:hint="eastAsia" w:ascii="Calibri" w:hAnsi="Calibri" w:eastAsia="宋体" w:cs="Times New Roman"/>
                <w:kern w:val="2"/>
                <w:sz w:val="24"/>
                <w:szCs w:val="24"/>
                <w:lang w:val="en-US" w:eastAsia="zh-CN" w:bidi="ar-SA"/>
              </w:rPr>
            </w:pP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val="0"/>
                <w:bCs w:val="0"/>
                <w:i w:val="0"/>
                <w:caps w:val="0"/>
                <w:color w:val="auto"/>
                <w:spacing w:val="0"/>
                <w:kern w:val="0"/>
                <w:sz w:val="24"/>
                <w:szCs w:val="24"/>
                <w:shd w:val="clear" w:color="auto" w:fill="FFFFFF"/>
                <w:lang w:val="en-US" w:eastAsia="zh-CN" w:bidi="ar"/>
              </w:rPr>
            </w:pPr>
            <w:r>
              <w:rPr>
                <w:rFonts w:hint="eastAsia" w:ascii="仿宋_GB2312" w:hAnsi="Calibri" w:eastAsia="仿宋_GB2312" w:cs="仿宋_GB2312"/>
                <w:sz w:val="24"/>
                <w:szCs w:val="24"/>
              </w:rPr>
              <w:t>非食盐定点批发企业经营食盐批发业务，食盐货值在5000元以内的，没收生产经营的食盐及违法所得，并处1万元罚款。</w:t>
            </w:r>
          </w:p>
        </w:tc>
        <w:tc>
          <w:tcPr>
            <w:tcW w:w="0" w:type="auto"/>
            <w:gridSpan w:val="2"/>
            <w:vAlign w:val="center"/>
          </w:tcPr>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b/>
                <w:bCs/>
                <w:sz w:val="24"/>
                <w:szCs w:val="24"/>
              </w:rPr>
              <w:t>【法律】</w:t>
            </w:r>
            <w:r>
              <w:rPr>
                <w:rFonts w:hint="eastAsia" w:ascii="仿宋_GB2312" w:hAnsi="Calibri" w:eastAsia="仿宋_GB2312" w:cs="仿宋_GB2312"/>
                <w:sz w:val="24"/>
                <w:szCs w:val="24"/>
              </w:rPr>
              <w:t>《中华人民共和国行政处罚法》第三十二条 当事人有下列情形之一，应当从轻或者减轻行政处罚：</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（一）主动消除或者减轻违法行为危害后果的；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（二）受他人胁迫或者诱骗实施违法行为的；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（三）主动供述行政机关尚未掌握的违法行为的；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（四）配合行政机关查处违法行为有立功表现的；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（五）法律、法规、规章规定其他应当从轻或者减轻行政处罚的。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b/>
                <w:bCs/>
                <w:sz w:val="24"/>
                <w:szCs w:val="24"/>
              </w:rPr>
              <w:t>【行政法规】</w:t>
            </w:r>
            <w:r>
              <w:rPr>
                <w:rFonts w:hint="eastAsia" w:ascii="仿宋_GB2312" w:hAnsi="Calibri" w:eastAsia="仿宋_GB2312" w:cs="仿宋_GB2312"/>
                <w:sz w:val="24"/>
                <w:szCs w:val="24"/>
              </w:rPr>
              <w:t>《食盐专营办法》（2017年12月修订）第二十六条 有下列情形之一的，由县级以上地方人民政府盐业主管部门予以取缔，没收违法生产经营的食盐和违法所得。违法生产经营的食盐货值金额不足1万元的，可以处5万元以下的罚款；货值金额1万元以上的，并处货值金额5倍以上10倍以下的罚款：</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color w:val="auto"/>
                <w:kern w:val="2"/>
                <w:sz w:val="24"/>
                <w:szCs w:val="24"/>
                <w:vertAlign w:val="baseline"/>
                <w:lang w:val="en-US" w:eastAsia="zh-CN" w:bidi="ar-SA"/>
              </w:rPr>
            </w:pPr>
            <w:r>
              <w:rPr>
                <w:rFonts w:hint="eastAsia" w:ascii="仿宋_GB2312" w:hAnsi="Calibri" w:eastAsia="仿宋_GB2312" w:cs="仿宋_GB2312"/>
                <w:sz w:val="24"/>
                <w:szCs w:val="24"/>
              </w:rPr>
              <w:t>（二）非食盐定点批发企业经营食盐批发业务</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Calibri" w:eastAsia="仿宋_GB2312" w:cs="仿宋_GB2312"/>
                <w:sz w:val="24"/>
                <w:szCs w:val="24"/>
              </w:rPr>
              <w:t>说服教育、回访督促、行政指导、行政告诫等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center"/>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Calibri" w:eastAsia="仿宋_GB2312" w:cs="仿宋_GB2312"/>
                <w:kern w:val="2"/>
                <w:sz w:val="24"/>
                <w:szCs w:val="24"/>
                <w:lang w:val="en-US" w:eastAsia="zh-CN" w:bidi="ar-SA"/>
              </w:rPr>
              <w:t>2</w:t>
            </w:r>
          </w:p>
        </w:tc>
        <w:tc>
          <w:tcPr>
            <w:tcW w:w="0" w:type="auto"/>
            <w:gridSpan w:val="2"/>
            <w:vAlign w:val="center"/>
          </w:tcPr>
          <w:p>
            <w:pPr>
              <w:pStyle w:val="2"/>
              <w:spacing w:line="240" w:lineRule="auto"/>
              <w:jc w:val="left"/>
              <w:rPr>
                <w:rFonts w:hint="eastAsia"/>
                <w:sz w:val="24"/>
                <w:szCs w:val="24"/>
                <w:lang w:val="en-US" w:eastAsia="zh-CN"/>
              </w:rPr>
            </w:pPr>
            <w:r>
              <w:rPr>
                <w:rFonts w:hint="eastAsia" w:ascii="仿宋_GB2312" w:hAnsi="Calibri" w:eastAsia="仿宋_GB2312" w:cs="仿宋_GB2312"/>
                <w:sz w:val="24"/>
                <w:szCs w:val="24"/>
              </w:rPr>
              <w:t>对碘盐的加工企业、批发企业违反规定，加工、批发不合格碘盐的处罚</w:t>
            </w:r>
          </w:p>
          <w:p>
            <w:pPr>
              <w:pStyle w:val="2"/>
              <w:spacing w:line="240" w:lineRule="auto"/>
              <w:jc w:val="left"/>
              <w:rPr>
                <w:rFonts w:hint="eastAsia" w:ascii="Calibri" w:hAnsi="Calibri" w:eastAsia="宋体" w:cs="Times New Roman"/>
                <w:kern w:val="2"/>
                <w:sz w:val="24"/>
                <w:szCs w:val="24"/>
                <w:lang w:val="en-US" w:eastAsia="zh-CN" w:bidi="ar-SA"/>
              </w:rPr>
            </w:pP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Calibri" w:eastAsia="仿宋_GB2312" w:cs="仿宋_GB2312"/>
                <w:sz w:val="24"/>
                <w:szCs w:val="24"/>
              </w:rPr>
              <w:t>碘盐加工企业、批发企业加工、批发不合格碘盐的，其不合格碘盐货值在1万元以下，且未造成不良后果的，责令停止出售不合格碘盐，没收违法所得，并处不合格碘盐相同货值的罚款。</w:t>
            </w:r>
          </w:p>
        </w:tc>
        <w:tc>
          <w:tcPr>
            <w:tcW w:w="0" w:type="auto"/>
            <w:gridSpan w:val="2"/>
            <w:vAlign w:val="center"/>
          </w:tcPr>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b/>
                <w:bCs/>
                <w:sz w:val="24"/>
                <w:szCs w:val="24"/>
              </w:rPr>
              <w:t>【法律】</w:t>
            </w:r>
            <w:r>
              <w:rPr>
                <w:rFonts w:hint="eastAsia" w:ascii="仿宋_GB2312" w:hAnsi="Calibri" w:eastAsia="仿宋_GB2312" w:cs="仿宋_GB2312"/>
                <w:sz w:val="24"/>
                <w:szCs w:val="24"/>
              </w:rPr>
              <w:t>《中华人民共和国行政处罚法》第三十二条 当事人有下列情形之一，应当从轻或者减轻行政处罚：</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（一）主动消除或者减轻违法行为危害后果的；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（二）受他人胁迫或者诱骗实施违法行为的；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（三）主动供述行政机关尚未掌握的违法行为的；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（四）配合行政机关查处违法行为有立功表现的；</w:t>
            </w:r>
          </w:p>
          <w:p>
            <w:pPr>
              <w:keepNext w:val="0"/>
              <w:keepLines w:val="0"/>
              <w:widowControl/>
              <w:suppressLineNumbers w:val="0"/>
              <w:spacing w:before="0" w:beforeAutospacing="0" w:after="0" w:afterAutospacing="0" w:line="240" w:lineRule="auto"/>
              <w:ind w:left="0" w:right="0"/>
              <w:jc w:val="left"/>
              <w:rPr>
                <w:rFonts w:hint="default" w:ascii="Calibri" w:hAnsi="Calibri" w:cs="Calibri"/>
                <w:sz w:val="24"/>
                <w:szCs w:val="24"/>
              </w:rPr>
            </w:pPr>
            <w:r>
              <w:rPr>
                <w:rFonts w:hint="eastAsia" w:ascii="仿宋_GB2312" w:hAnsi="Calibri" w:eastAsia="仿宋_GB2312" w:cs="仿宋_GB2312"/>
                <w:sz w:val="24"/>
                <w:szCs w:val="24"/>
              </w:rPr>
              <w:t>（五）法律、法规、规章规定其他应当从轻或者减轻行政处罚的。</w:t>
            </w:r>
          </w:p>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Calibri" w:eastAsia="仿宋_GB2312" w:cs="仿宋_GB2312"/>
                <w:b/>
                <w:bCs/>
                <w:sz w:val="24"/>
                <w:szCs w:val="24"/>
              </w:rPr>
              <w:t>【行政法规】</w:t>
            </w:r>
            <w:r>
              <w:rPr>
                <w:rFonts w:hint="eastAsia" w:ascii="仿宋_GB2312" w:hAnsi="Calibri" w:eastAsia="仿宋_GB2312" w:cs="仿宋_GB2312"/>
                <w:sz w:val="24"/>
                <w:szCs w:val="24"/>
              </w:rPr>
              <w:t>《食盐加碘消除碘缺乏危害管理条例》（2017年修订）第二十五条  碘盐的加工企业、批发企业违反本条例的规定，加工、批发不合格碘盐的，由县级以上人民政府盐业主管机构责令停止出售并责令责任者按照国家规定标准对食盐补碘，没收违法所得，可以并处该盐产品价值３倍以下的罚款。情节严重的，对加工企业，由省、自治区、直辖市人民政府盐业主管机构报请国务院盐业主管机构批准后，取消其碘盐加工资格；对批发企业，由省、自治区、直辖市人民政府盐业主管机构取消其碘盐批发资格。</w:t>
            </w:r>
          </w:p>
        </w:tc>
        <w:tc>
          <w:tcPr>
            <w:tcW w:w="0" w:type="auto"/>
            <w:gridSpan w:val="2"/>
            <w:vAlign w:val="center"/>
          </w:tcPr>
          <w:p>
            <w:pPr>
              <w:keepNext w:val="0"/>
              <w:keepLines w:val="0"/>
              <w:pageBreakBefore w:val="0"/>
              <w:widowControl w:val="0"/>
              <w:kinsoku/>
              <w:wordWrap/>
              <w:overflowPunct/>
              <w:topLinePunct w:val="0"/>
              <w:autoSpaceDE/>
              <w:autoSpaceDN/>
              <w:bidi w:val="0"/>
              <w:adjustRightInd/>
              <w:snapToGrid/>
              <w:spacing w:after="120" w:line="240" w:lineRule="auto"/>
              <w:jc w:val="left"/>
              <w:textAlignment w:val="auto"/>
              <w:rPr>
                <w:rFonts w:hint="eastAsia" w:ascii="仿宋_GB2312" w:hAnsi="仿宋_GB2312" w:eastAsia="仿宋_GB2312" w:cs="仿宋_GB2312"/>
                <w:b/>
                <w:bCs/>
                <w:kern w:val="2"/>
                <w:sz w:val="24"/>
                <w:szCs w:val="24"/>
                <w:vertAlign w:val="baseline"/>
                <w:lang w:val="en-US" w:eastAsia="zh-CN" w:bidi="ar-SA"/>
              </w:rPr>
            </w:pPr>
            <w:r>
              <w:rPr>
                <w:rFonts w:hint="eastAsia" w:ascii="仿宋_GB2312" w:hAnsi="Calibri" w:eastAsia="仿宋_GB2312" w:cs="仿宋_GB2312"/>
                <w:sz w:val="24"/>
                <w:szCs w:val="24"/>
              </w:rPr>
              <w:t>说服教育、回访督促、行政指导、行政告诫等</w:t>
            </w:r>
          </w:p>
        </w:tc>
      </w:tr>
    </w:tbl>
    <w:p>
      <w:pPr>
        <w:spacing w:line="27" w:lineRule="exact"/>
        <w:rPr>
          <w:rFonts w:hint="eastAsia" w:ascii="仿宋_GB2312" w:hAnsi="仿宋_GB2312" w:eastAsia="仿宋_GB2312" w:cs="仿宋_GB2312"/>
          <w:sz w:val="24"/>
          <w:szCs w:val="24"/>
        </w:rPr>
      </w:pPr>
    </w:p>
    <w:p>
      <w:pPr>
        <w:tabs>
          <w:tab w:val="left" w:pos="1491"/>
        </w:tabs>
        <w:jc w:val="left"/>
      </w:pPr>
      <w:r>
        <w:tab/>
      </w:r>
    </w:p>
    <w:sectPr>
      <w:headerReference r:id="rId3" w:type="default"/>
      <w:footerReference r:id="rId4" w:type="default"/>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ESI??-GB2312">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
    <w:altName w:val="C059"/>
    <w:panose1 w:val="00000000000000000000"/>
    <w:charset w:val="00"/>
    <w:family w:val="auto"/>
    <w:pitch w:val="default"/>
    <w:sig w:usb0="00000000" w:usb1="00000000" w:usb2="00000000" w:usb3="00000000" w:csb0="0000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SI仿宋-GB2312">
    <w:panose1 w:val="02000500000000000000"/>
    <w:charset w:val="86"/>
    <w:family w:val="auto"/>
    <w:pitch w:val="default"/>
    <w:sig w:usb0="800002AF" w:usb1="084F6CF8" w:usb2="00000010" w:usb3="00000000" w:csb0="0004000F"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rPr>
        <w:sz w:val="2"/>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4"/>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F66775"/>
    <w:multiLevelType w:val="singleLevel"/>
    <w:tmpl w:val="98F66775"/>
    <w:lvl w:ilvl="0" w:tentative="0">
      <w:start w:val="1"/>
      <w:numFmt w:val="chineseCounting"/>
      <w:lvlText w:val="(%1)"/>
      <w:lvlJc w:val="left"/>
      <w:pPr>
        <w:tabs>
          <w:tab w:val="left" w:pos="312"/>
        </w:tabs>
      </w:pPr>
      <w:rPr>
        <w:rFonts w:hint="eastAsia" w:cs="Times New Roman"/>
      </w:rPr>
    </w:lvl>
  </w:abstractNum>
  <w:abstractNum w:abstractNumId="1">
    <w:nsid w:val="9B2ED935"/>
    <w:multiLevelType w:val="singleLevel"/>
    <w:tmpl w:val="9B2ED935"/>
    <w:lvl w:ilvl="0" w:tentative="0">
      <w:start w:val="1"/>
      <w:numFmt w:val="chineseCounting"/>
      <w:lvlText w:val="(%1)"/>
      <w:lvlJc w:val="left"/>
      <w:pPr>
        <w:tabs>
          <w:tab w:val="left" w:pos="312"/>
        </w:tabs>
      </w:pPr>
      <w:rPr>
        <w:rFonts w:hint="eastAsia" w:cs="Times New Roman"/>
      </w:rPr>
    </w:lvl>
  </w:abstractNum>
  <w:abstractNum w:abstractNumId="2">
    <w:nsid w:val="9DB70E4B"/>
    <w:multiLevelType w:val="singleLevel"/>
    <w:tmpl w:val="9DB70E4B"/>
    <w:lvl w:ilvl="0" w:tentative="0">
      <w:start w:val="1"/>
      <w:numFmt w:val="chineseCounting"/>
      <w:lvlText w:val="(%1)"/>
      <w:lvlJc w:val="left"/>
      <w:pPr>
        <w:tabs>
          <w:tab w:val="left" w:pos="312"/>
        </w:tabs>
      </w:pPr>
      <w:rPr>
        <w:rFonts w:hint="eastAsia" w:cs="Times New Roman"/>
      </w:rPr>
    </w:lvl>
  </w:abstractNum>
  <w:abstractNum w:abstractNumId="3">
    <w:nsid w:val="A57772A8"/>
    <w:multiLevelType w:val="singleLevel"/>
    <w:tmpl w:val="A57772A8"/>
    <w:lvl w:ilvl="0" w:tentative="0">
      <w:start w:val="1"/>
      <w:numFmt w:val="chineseCounting"/>
      <w:lvlText w:val="(%1)"/>
      <w:lvlJc w:val="left"/>
      <w:pPr>
        <w:tabs>
          <w:tab w:val="left" w:pos="312"/>
        </w:tabs>
      </w:pPr>
      <w:rPr>
        <w:rFonts w:hint="eastAsia" w:cs="Times New Roman"/>
      </w:rPr>
    </w:lvl>
  </w:abstractNum>
  <w:abstractNum w:abstractNumId="4">
    <w:nsid w:val="A749D01D"/>
    <w:multiLevelType w:val="singleLevel"/>
    <w:tmpl w:val="A749D01D"/>
    <w:lvl w:ilvl="0" w:tentative="0">
      <w:start w:val="1"/>
      <w:numFmt w:val="chineseCounting"/>
      <w:lvlText w:val="(%1)"/>
      <w:lvlJc w:val="left"/>
      <w:pPr>
        <w:tabs>
          <w:tab w:val="left" w:pos="312"/>
        </w:tabs>
      </w:pPr>
      <w:rPr>
        <w:rFonts w:hint="eastAsia" w:cs="Times New Roman"/>
      </w:rPr>
    </w:lvl>
  </w:abstractNum>
  <w:abstractNum w:abstractNumId="5">
    <w:nsid w:val="A9F5447C"/>
    <w:multiLevelType w:val="singleLevel"/>
    <w:tmpl w:val="A9F5447C"/>
    <w:lvl w:ilvl="0" w:tentative="0">
      <w:start w:val="1"/>
      <w:numFmt w:val="chineseCounting"/>
      <w:lvlText w:val="(%1)"/>
      <w:lvlJc w:val="left"/>
      <w:pPr>
        <w:tabs>
          <w:tab w:val="left" w:pos="312"/>
        </w:tabs>
      </w:pPr>
      <w:rPr>
        <w:rFonts w:hint="eastAsia" w:cs="Times New Roman"/>
      </w:rPr>
    </w:lvl>
  </w:abstractNum>
  <w:abstractNum w:abstractNumId="6">
    <w:nsid w:val="BB1EC608"/>
    <w:multiLevelType w:val="singleLevel"/>
    <w:tmpl w:val="BB1EC608"/>
    <w:lvl w:ilvl="0" w:tentative="0">
      <w:start w:val="1"/>
      <w:numFmt w:val="chineseCounting"/>
      <w:lvlText w:val="(%1)"/>
      <w:lvlJc w:val="left"/>
      <w:pPr>
        <w:tabs>
          <w:tab w:val="left" w:pos="312"/>
        </w:tabs>
      </w:pPr>
      <w:rPr>
        <w:rFonts w:hint="eastAsia" w:cs="Times New Roman"/>
      </w:rPr>
    </w:lvl>
  </w:abstractNum>
  <w:abstractNum w:abstractNumId="7">
    <w:nsid w:val="CACA2884"/>
    <w:multiLevelType w:val="singleLevel"/>
    <w:tmpl w:val="CACA2884"/>
    <w:lvl w:ilvl="0" w:tentative="0">
      <w:start w:val="1"/>
      <w:numFmt w:val="chineseCounting"/>
      <w:lvlText w:val="(%1)"/>
      <w:lvlJc w:val="left"/>
      <w:pPr>
        <w:tabs>
          <w:tab w:val="left" w:pos="312"/>
        </w:tabs>
      </w:pPr>
      <w:rPr>
        <w:rFonts w:hint="eastAsia" w:cs="Times New Roman"/>
      </w:rPr>
    </w:lvl>
  </w:abstractNum>
  <w:abstractNum w:abstractNumId="8">
    <w:nsid w:val="D020217B"/>
    <w:multiLevelType w:val="singleLevel"/>
    <w:tmpl w:val="D020217B"/>
    <w:lvl w:ilvl="0" w:tentative="0">
      <w:start w:val="1"/>
      <w:numFmt w:val="chineseCounting"/>
      <w:lvlText w:val="(%1)"/>
      <w:lvlJc w:val="left"/>
      <w:pPr>
        <w:tabs>
          <w:tab w:val="left" w:pos="312"/>
        </w:tabs>
      </w:pPr>
      <w:rPr>
        <w:rFonts w:hint="eastAsia" w:cs="Times New Roman"/>
      </w:rPr>
    </w:lvl>
  </w:abstractNum>
  <w:abstractNum w:abstractNumId="9">
    <w:nsid w:val="EF5759D9"/>
    <w:multiLevelType w:val="singleLevel"/>
    <w:tmpl w:val="EF5759D9"/>
    <w:lvl w:ilvl="0" w:tentative="0">
      <w:start w:val="8"/>
      <w:numFmt w:val="chineseCounting"/>
      <w:suff w:val="nothing"/>
      <w:lvlText w:val="（%1）"/>
      <w:lvlJc w:val="left"/>
      <w:rPr>
        <w:rFonts w:hint="eastAsia"/>
      </w:rPr>
    </w:lvl>
  </w:abstractNum>
  <w:abstractNum w:abstractNumId="10">
    <w:nsid w:val="FBC0FD86"/>
    <w:multiLevelType w:val="singleLevel"/>
    <w:tmpl w:val="FBC0FD86"/>
    <w:lvl w:ilvl="0" w:tentative="0">
      <w:start w:val="1"/>
      <w:numFmt w:val="chineseCounting"/>
      <w:lvlText w:val="(%1)"/>
      <w:lvlJc w:val="left"/>
      <w:pPr>
        <w:tabs>
          <w:tab w:val="left" w:pos="312"/>
        </w:tabs>
      </w:pPr>
      <w:rPr>
        <w:rFonts w:hint="eastAsia" w:cs="Times New Roman"/>
      </w:rPr>
    </w:lvl>
  </w:abstractNum>
  <w:abstractNum w:abstractNumId="11">
    <w:nsid w:val="0C9D592D"/>
    <w:multiLevelType w:val="singleLevel"/>
    <w:tmpl w:val="0C9D592D"/>
    <w:lvl w:ilvl="0" w:tentative="0">
      <w:start w:val="1"/>
      <w:numFmt w:val="chineseCounting"/>
      <w:lvlText w:val="(%1)"/>
      <w:lvlJc w:val="left"/>
      <w:pPr>
        <w:tabs>
          <w:tab w:val="left" w:pos="312"/>
        </w:tabs>
      </w:pPr>
      <w:rPr>
        <w:rFonts w:hint="eastAsia" w:cs="Times New Roman"/>
      </w:rPr>
    </w:lvl>
  </w:abstractNum>
  <w:abstractNum w:abstractNumId="12">
    <w:nsid w:val="253773EE"/>
    <w:multiLevelType w:val="singleLevel"/>
    <w:tmpl w:val="253773EE"/>
    <w:lvl w:ilvl="0" w:tentative="0">
      <w:start w:val="1"/>
      <w:numFmt w:val="chineseCounting"/>
      <w:lvlText w:val="(%1)"/>
      <w:lvlJc w:val="left"/>
      <w:pPr>
        <w:tabs>
          <w:tab w:val="left" w:pos="312"/>
        </w:tabs>
      </w:pPr>
      <w:rPr>
        <w:rFonts w:hint="eastAsia" w:cs="Times New Roman"/>
      </w:rPr>
    </w:lvl>
  </w:abstractNum>
  <w:abstractNum w:abstractNumId="13">
    <w:nsid w:val="274631E8"/>
    <w:multiLevelType w:val="singleLevel"/>
    <w:tmpl w:val="274631E8"/>
    <w:lvl w:ilvl="0" w:tentative="0">
      <w:start w:val="1"/>
      <w:numFmt w:val="chineseCounting"/>
      <w:lvlText w:val="(%1)"/>
      <w:lvlJc w:val="left"/>
      <w:pPr>
        <w:tabs>
          <w:tab w:val="left" w:pos="312"/>
        </w:tabs>
      </w:pPr>
      <w:rPr>
        <w:rFonts w:hint="eastAsia" w:cs="Times New Roman"/>
      </w:rPr>
    </w:lvl>
  </w:abstractNum>
  <w:abstractNum w:abstractNumId="14">
    <w:nsid w:val="3132C84C"/>
    <w:multiLevelType w:val="singleLevel"/>
    <w:tmpl w:val="3132C84C"/>
    <w:lvl w:ilvl="0" w:tentative="0">
      <w:start w:val="1"/>
      <w:numFmt w:val="chineseCounting"/>
      <w:lvlText w:val="(%1)"/>
      <w:lvlJc w:val="left"/>
      <w:pPr>
        <w:tabs>
          <w:tab w:val="left" w:pos="312"/>
        </w:tabs>
      </w:pPr>
      <w:rPr>
        <w:rFonts w:hint="eastAsia" w:cs="Times New Roman"/>
      </w:rPr>
    </w:lvl>
  </w:abstractNum>
  <w:abstractNum w:abstractNumId="15">
    <w:nsid w:val="42A2B7C3"/>
    <w:multiLevelType w:val="singleLevel"/>
    <w:tmpl w:val="42A2B7C3"/>
    <w:lvl w:ilvl="0" w:tentative="0">
      <w:start w:val="1"/>
      <w:numFmt w:val="chineseCounting"/>
      <w:lvlText w:val="(%1)"/>
      <w:lvlJc w:val="left"/>
      <w:pPr>
        <w:tabs>
          <w:tab w:val="left" w:pos="312"/>
        </w:tabs>
      </w:pPr>
      <w:rPr>
        <w:rFonts w:hint="eastAsia" w:cs="Times New Roman"/>
      </w:rPr>
    </w:lvl>
  </w:abstractNum>
  <w:abstractNum w:abstractNumId="16">
    <w:nsid w:val="51002B46"/>
    <w:multiLevelType w:val="singleLevel"/>
    <w:tmpl w:val="51002B46"/>
    <w:lvl w:ilvl="0" w:tentative="0">
      <w:start w:val="1"/>
      <w:numFmt w:val="chineseCounting"/>
      <w:lvlText w:val="(%1)"/>
      <w:lvlJc w:val="left"/>
      <w:pPr>
        <w:tabs>
          <w:tab w:val="left" w:pos="312"/>
        </w:tabs>
      </w:pPr>
      <w:rPr>
        <w:rFonts w:hint="eastAsia" w:cs="Times New Roman"/>
      </w:rPr>
    </w:lvl>
  </w:abstractNum>
  <w:abstractNum w:abstractNumId="17">
    <w:nsid w:val="585244D8"/>
    <w:multiLevelType w:val="singleLevel"/>
    <w:tmpl w:val="585244D8"/>
    <w:lvl w:ilvl="0" w:tentative="0">
      <w:start w:val="1"/>
      <w:numFmt w:val="chineseCounting"/>
      <w:lvlText w:val="(%1)"/>
      <w:lvlJc w:val="left"/>
      <w:pPr>
        <w:tabs>
          <w:tab w:val="left" w:pos="312"/>
        </w:tabs>
      </w:pPr>
      <w:rPr>
        <w:rFonts w:hint="eastAsia" w:cs="Times New Roman"/>
      </w:rPr>
    </w:lvl>
  </w:abstractNum>
  <w:abstractNum w:abstractNumId="18">
    <w:nsid w:val="5CAEA64A"/>
    <w:multiLevelType w:val="singleLevel"/>
    <w:tmpl w:val="5CAEA64A"/>
    <w:lvl w:ilvl="0" w:tentative="0">
      <w:start w:val="1"/>
      <w:numFmt w:val="chineseCounting"/>
      <w:lvlText w:val="(%1)"/>
      <w:lvlJc w:val="left"/>
      <w:pPr>
        <w:tabs>
          <w:tab w:val="left" w:pos="312"/>
        </w:tabs>
      </w:pPr>
      <w:rPr>
        <w:rFonts w:hint="eastAsia" w:cs="Times New Roman"/>
      </w:rPr>
    </w:lvl>
  </w:abstractNum>
  <w:abstractNum w:abstractNumId="19">
    <w:nsid w:val="6345F4AC"/>
    <w:multiLevelType w:val="singleLevel"/>
    <w:tmpl w:val="6345F4AC"/>
    <w:lvl w:ilvl="0" w:tentative="0">
      <w:start w:val="1"/>
      <w:numFmt w:val="chineseCounting"/>
      <w:lvlText w:val="(%1)"/>
      <w:lvlJc w:val="left"/>
      <w:pPr>
        <w:tabs>
          <w:tab w:val="left" w:pos="312"/>
        </w:tabs>
      </w:pPr>
      <w:rPr>
        <w:rFonts w:hint="eastAsia" w:cs="Times New Roman"/>
      </w:rPr>
    </w:lvl>
  </w:abstractNum>
  <w:num w:numId="1">
    <w:abstractNumId w:val="13"/>
  </w:num>
  <w:num w:numId="2">
    <w:abstractNumId w:val="6"/>
  </w:num>
  <w:num w:numId="3">
    <w:abstractNumId w:val="5"/>
  </w:num>
  <w:num w:numId="4">
    <w:abstractNumId w:val="7"/>
  </w:num>
  <w:num w:numId="5">
    <w:abstractNumId w:val="12"/>
  </w:num>
  <w:num w:numId="6">
    <w:abstractNumId w:val="11"/>
  </w:num>
  <w:num w:numId="7">
    <w:abstractNumId w:val="3"/>
  </w:num>
  <w:num w:numId="8">
    <w:abstractNumId w:val="8"/>
  </w:num>
  <w:num w:numId="9">
    <w:abstractNumId w:val="1"/>
  </w:num>
  <w:num w:numId="10">
    <w:abstractNumId w:val="17"/>
  </w:num>
  <w:num w:numId="11">
    <w:abstractNumId w:val="2"/>
  </w:num>
  <w:num w:numId="12">
    <w:abstractNumId w:val="18"/>
  </w:num>
  <w:num w:numId="13">
    <w:abstractNumId w:val="16"/>
  </w:num>
  <w:num w:numId="14">
    <w:abstractNumId w:val="0"/>
  </w:num>
  <w:num w:numId="15">
    <w:abstractNumId w:val="14"/>
  </w:num>
  <w:num w:numId="16">
    <w:abstractNumId w:val="4"/>
  </w:num>
  <w:num w:numId="17">
    <w:abstractNumId w:val="10"/>
  </w:num>
  <w:num w:numId="18">
    <w:abstractNumId w:val="15"/>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BkNDQxNzc3MzgyZjkxOWYwOWJkYWQ5NWEyYmI4YTIifQ=="/>
  </w:docVars>
  <w:rsids>
    <w:rsidRoot w:val="47F612EB"/>
    <w:rsid w:val="00005185"/>
    <w:rsid w:val="00027656"/>
    <w:rsid w:val="00031FEA"/>
    <w:rsid w:val="000453F7"/>
    <w:rsid w:val="00081E98"/>
    <w:rsid w:val="001F1E36"/>
    <w:rsid w:val="00201A7C"/>
    <w:rsid w:val="00213905"/>
    <w:rsid w:val="0022223D"/>
    <w:rsid w:val="002579B8"/>
    <w:rsid w:val="00310442"/>
    <w:rsid w:val="00313DF5"/>
    <w:rsid w:val="003256E0"/>
    <w:rsid w:val="003422D5"/>
    <w:rsid w:val="00352A4F"/>
    <w:rsid w:val="00356C00"/>
    <w:rsid w:val="004237B6"/>
    <w:rsid w:val="00445E6C"/>
    <w:rsid w:val="0045363E"/>
    <w:rsid w:val="004B080F"/>
    <w:rsid w:val="004B30E1"/>
    <w:rsid w:val="004E2E1E"/>
    <w:rsid w:val="004E7566"/>
    <w:rsid w:val="005018EF"/>
    <w:rsid w:val="00533914"/>
    <w:rsid w:val="005A66F5"/>
    <w:rsid w:val="005D6C28"/>
    <w:rsid w:val="005E3C0B"/>
    <w:rsid w:val="005F38E3"/>
    <w:rsid w:val="00601F8D"/>
    <w:rsid w:val="00613D54"/>
    <w:rsid w:val="00690874"/>
    <w:rsid w:val="00695798"/>
    <w:rsid w:val="006D4D66"/>
    <w:rsid w:val="006F631F"/>
    <w:rsid w:val="00723765"/>
    <w:rsid w:val="007317D9"/>
    <w:rsid w:val="007856A4"/>
    <w:rsid w:val="007D46E5"/>
    <w:rsid w:val="007E577F"/>
    <w:rsid w:val="00815FDF"/>
    <w:rsid w:val="00821B42"/>
    <w:rsid w:val="009A1841"/>
    <w:rsid w:val="009B0015"/>
    <w:rsid w:val="00AD1FAE"/>
    <w:rsid w:val="00C434A3"/>
    <w:rsid w:val="00C543A0"/>
    <w:rsid w:val="00C711BC"/>
    <w:rsid w:val="00CF27D8"/>
    <w:rsid w:val="00CF40EF"/>
    <w:rsid w:val="00D45D0D"/>
    <w:rsid w:val="00D63C89"/>
    <w:rsid w:val="00DD3A82"/>
    <w:rsid w:val="00DE6655"/>
    <w:rsid w:val="00E065C7"/>
    <w:rsid w:val="00E16517"/>
    <w:rsid w:val="00E31216"/>
    <w:rsid w:val="00E839A7"/>
    <w:rsid w:val="00E96DA1"/>
    <w:rsid w:val="00EE36D0"/>
    <w:rsid w:val="00EF2E5C"/>
    <w:rsid w:val="080F73DC"/>
    <w:rsid w:val="090D12BC"/>
    <w:rsid w:val="12D60DA0"/>
    <w:rsid w:val="1A8D3414"/>
    <w:rsid w:val="1CDA2E0B"/>
    <w:rsid w:val="207951D9"/>
    <w:rsid w:val="207A0AE1"/>
    <w:rsid w:val="20F841A8"/>
    <w:rsid w:val="276B56D3"/>
    <w:rsid w:val="2E74642D"/>
    <w:rsid w:val="2E913546"/>
    <w:rsid w:val="30064097"/>
    <w:rsid w:val="34CF10CD"/>
    <w:rsid w:val="362F5B1E"/>
    <w:rsid w:val="370C5E5F"/>
    <w:rsid w:val="384E6F8A"/>
    <w:rsid w:val="3E1830F3"/>
    <w:rsid w:val="3E881327"/>
    <w:rsid w:val="3FF12080"/>
    <w:rsid w:val="44C65488"/>
    <w:rsid w:val="47367FA1"/>
    <w:rsid w:val="47C12B15"/>
    <w:rsid w:val="47F612EB"/>
    <w:rsid w:val="484B775B"/>
    <w:rsid w:val="57405985"/>
    <w:rsid w:val="58A7151F"/>
    <w:rsid w:val="5D5E3ED5"/>
    <w:rsid w:val="64473145"/>
    <w:rsid w:val="66E53126"/>
    <w:rsid w:val="723A623C"/>
    <w:rsid w:val="74BC1FAA"/>
    <w:rsid w:val="769767EC"/>
    <w:rsid w:val="76C22059"/>
    <w:rsid w:val="7F45A15A"/>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uiPriority="99" w:name="header" w:locked="1"/>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99"/>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
    <w:qFormat/>
    <w:uiPriority w:val="99"/>
    <w:pPr>
      <w:spacing w:after="120"/>
    </w:pPr>
  </w:style>
  <w:style w:type="paragraph" w:styleId="3">
    <w:name w:val="Body Text Indent"/>
    <w:basedOn w:val="1"/>
    <w:next w:val="1"/>
    <w:link w:val="10"/>
    <w:qFormat/>
    <w:locked/>
    <w:uiPriority w:val="99"/>
    <w:pPr>
      <w:ind w:firstLine="570"/>
    </w:pPr>
  </w:style>
  <w:style w:type="paragraph" w:styleId="4">
    <w:name w:val="footer"/>
    <w:basedOn w:val="1"/>
    <w:link w:val="11"/>
    <w:qFormat/>
    <w:uiPriority w:val="99"/>
    <w:pPr>
      <w:tabs>
        <w:tab w:val="center" w:pos="4153"/>
        <w:tab w:val="right" w:pos="8306"/>
      </w:tabs>
      <w:snapToGrid w:val="0"/>
      <w:jc w:val="left"/>
    </w:pPr>
    <w:rPr>
      <w:sz w:val="18"/>
    </w:rPr>
  </w:style>
  <w:style w:type="paragraph" w:styleId="5">
    <w:name w:val="header"/>
    <w:basedOn w:val="1"/>
    <w:semiHidden/>
    <w:unhideWhenUsed/>
    <w:lock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9">
    <w:name w:val="Body Text Char"/>
    <w:basedOn w:val="8"/>
    <w:link w:val="2"/>
    <w:semiHidden/>
    <w:qFormat/>
    <w:locked/>
    <w:uiPriority w:val="99"/>
    <w:rPr>
      <w:rFonts w:cs="Times New Roman"/>
      <w:sz w:val="24"/>
      <w:szCs w:val="24"/>
    </w:rPr>
  </w:style>
  <w:style w:type="character" w:customStyle="1" w:styleId="10">
    <w:name w:val="Body Text Indent Char"/>
    <w:basedOn w:val="8"/>
    <w:link w:val="3"/>
    <w:semiHidden/>
    <w:qFormat/>
    <w:locked/>
    <w:uiPriority w:val="99"/>
    <w:rPr>
      <w:rFonts w:cs="Times New Roman"/>
      <w:sz w:val="24"/>
      <w:szCs w:val="24"/>
    </w:rPr>
  </w:style>
  <w:style w:type="character" w:customStyle="1" w:styleId="11">
    <w:name w:val="Footer Char"/>
    <w:basedOn w:val="8"/>
    <w:link w:val="4"/>
    <w:semiHidden/>
    <w:qFormat/>
    <w:locked/>
    <w:uiPriority w:val="99"/>
    <w:rPr>
      <w:rFonts w:cs="Times New Roman"/>
      <w:sz w:val="18"/>
      <w:szCs w:val="18"/>
    </w:rPr>
  </w:style>
  <w:style w:type="table" w:customStyle="1" w:styleId="12">
    <w:name w:val="Table Normal1"/>
    <w:semiHidden/>
    <w:qFormat/>
    <w:uiPriority w:val="99"/>
    <w:rPr>
      <w:kern w:val="0"/>
      <w:sz w:val="20"/>
      <w:szCs w:val="20"/>
    </w:rPr>
    <w:tblPr>
      <w:tblCellMar>
        <w:top w:w="0" w:type="dxa"/>
        <w:left w:w="0" w:type="dxa"/>
        <w:bottom w:w="0" w:type="dxa"/>
        <w:right w:w="0" w:type="dxa"/>
      </w:tblCellMar>
    </w:tblPr>
  </w:style>
  <w:style w:type="character" w:customStyle="1" w:styleId="13">
    <w:name w:val="font31"/>
    <w:basedOn w:val="8"/>
    <w:qFormat/>
    <w:uiPriority w:val="99"/>
    <w:rPr>
      <w:rFonts w:ascii="CESI??-GB2312" w:hAnsi="CESI??-GB2312" w:cs="CESI??-GB2312"/>
      <w:color w:val="auto"/>
      <w:sz w:val="20"/>
      <w:szCs w:val="20"/>
      <w:u w:val="none"/>
    </w:rPr>
  </w:style>
  <w:style w:type="character" w:customStyle="1" w:styleId="14">
    <w:name w:val="font231"/>
    <w:basedOn w:val="8"/>
    <w:qFormat/>
    <w:uiPriority w:val="99"/>
    <w:rPr>
      <w:rFonts w:ascii="????" w:hAnsi="????" w:cs="????"/>
      <w:color w:val="auto"/>
      <w:sz w:val="20"/>
      <w:szCs w:val="20"/>
      <w:u w:val="none"/>
    </w:rPr>
  </w:style>
  <w:style w:type="character" w:customStyle="1" w:styleId="15">
    <w:name w:val="font41"/>
    <w:basedOn w:val="8"/>
    <w:qFormat/>
    <w:uiPriority w:val="99"/>
    <w:rPr>
      <w:rFonts w:ascii="CESI??-GB2312" w:hAnsi="CESI??-GB2312" w:cs="CESI??-GB2312"/>
      <w:color w:val="FF0000"/>
      <w:sz w:val="20"/>
      <w:szCs w:val="20"/>
      <w:u w:val="none"/>
    </w:rPr>
  </w:style>
  <w:style w:type="character" w:customStyle="1" w:styleId="16">
    <w:name w:val="font61"/>
    <w:basedOn w:val="8"/>
    <w:qFormat/>
    <w:uiPriority w:val="0"/>
    <w:rPr>
      <w:rFonts w:hint="eastAsia" w:ascii="宋体" w:hAnsi="宋体" w:eastAsia="宋体" w:cs="宋体"/>
      <w:b/>
      <w:bCs/>
      <w:color w:val="555555"/>
      <w:sz w:val="24"/>
      <w:szCs w:val="24"/>
      <w:u w:val="none"/>
    </w:rPr>
  </w:style>
  <w:style w:type="character" w:customStyle="1" w:styleId="17">
    <w:name w:val="font112"/>
    <w:basedOn w:val="8"/>
    <w:qFormat/>
    <w:uiPriority w:val="0"/>
    <w:rPr>
      <w:rFonts w:ascii="DejaVu Sans" w:hAnsi="DejaVu Sans" w:eastAsia="DejaVu Sans" w:cs="DejaVu Sans"/>
      <w:color w:val="333333"/>
      <w:sz w:val="24"/>
      <w:szCs w:val="24"/>
      <w:u w:val="none"/>
    </w:rPr>
  </w:style>
  <w:style w:type="character" w:customStyle="1" w:styleId="18">
    <w:name w:val="font91"/>
    <w:basedOn w:val="8"/>
    <w:qFormat/>
    <w:uiPriority w:val="0"/>
    <w:rPr>
      <w:rFonts w:hint="eastAsia" w:ascii="仿宋_GB2312" w:eastAsia="仿宋_GB2312" w:cs="仿宋_GB2312"/>
      <w:color w:val="333333"/>
      <w:sz w:val="24"/>
      <w:szCs w:val="24"/>
      <w:u w:val="none"/>
    </w:rPr>
  </w:style>
  <w:style w:type="character" w:customStyle="1" w:styleId="19">
    <w:name w:val="font21"/>
    <w:basedOn w:val="8"/>
    <w:qFormat/>
    <w:uiPriority w:val="0"/>
    <w:rPr>
      <w:rFonts w:hint="default" w:ascii="CESI仿宋-GB2312" w:hAnsi="CESI仿宋-GB2312" w:eastAsia="CESI仿宋-GB2312" w:cs="CESI仿宋-GB2312"/>
      <w:color w:val="000000"/>
      <w:sz w:val="20"/>
      <w:szCs w:val="20"/>
      <w:u w:val="none"/>
    </w:rPr>
  </w:style>
  <w:style w:type="character" w:customStyle="1" w:styleId="20">
    <w:name w:val="font01"/>
    <w:basedOn w:val="8"/>
    <w:qFormat/>
    <w:uiPriority w:val="0"/>
    <w:rPr>
      <w:rFonts w:ascii="DejaVu Sans" w:hAnsi="DejaVu Sans" w:eastAsia="DejaVu Sans" w:cs="DejaVu Sans"/>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140</Pages>
  <Words>99633</Words>
  <Characters>101179</Characters>
  <Lines>0</Lines>
  <Paragraphs>0</Paragraphs>
  <TotalTime>3</TotalTime>
  <ScaleCrop>false</ScaleCrop>
  <LinksUpToDate>false</LinksUpToDate>
  <CharactersWithSpaces>101868</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2023-04-12T09:29:00Z</dcterms:created>
  <dc:creator>Administrator</dc:creator>
  <cp:lastModifiedBy>kylin</cp:lastModifiedBy>
  <dcterms:modified xsi:type="dcterms:W3CDTF">2025-06-16T09:36:52Z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70E14A207FD44ABEAF67451D19FFE230</vt:lpwstr>
  </property>
</Properties>
</file>