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560" w:lineRule="exact"/>
        <w:ind w:left="0" w:right="0"/>
        <w:jc w:val="left"/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  <w:t>附件3：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560" w:lineRule="exact"/>
        <w:ind w:left="0" w:right="0"/>
        <w:jc w:val="center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"/>
        </w:rPr>
        <w:t>总体目标及年度分解任务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560" w:lineRule="exact"/>
        <w:ind w:left="0" w:right="0"/>
        <w:jc w:val="left"/>
        <w:rPr>
          <w:rFonts w:hint="default" w:ascii="仿宋" w:hAnsi="仿宋" w:eastAsia="仿宋" w:cs="仿宋"/>
          <w:b w:val="0"/>
          <w:bCs w:val="0"/>
          <w:kern w:val="2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"/>
        </w:rPr>
        <w:t>填写单位：           填报人：           联系方式：</w:t>
      </w:r>
    </w:p>
    <w:tbl>
      <w:tblPr>
        <w:tblStyle w:val="2"/>
        <w:tblW w:w="718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7"/>
        <w:gridCol w:w="3078"/>
        <w:gridCol w:w="1696"/>
        <w:gridCol w:w="168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指标类型</w:t>
            </w:r>
          </w:p>
        </w:tc>
        <w:tc>
          <w:tcPr>
            <w:tcW w:w="3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2022年底数</w:t>
            </w:r>
          </w:p>
        </w:tc>
        <w:tc>
          <w:tcPr>
            <w:tcW w:w="2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2024年</w:t>
            </w:r>
          </w:p>
        </w:tc>
        <w:tc>
          <w:tcPr>
            <w:tcW w:w="2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2025年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约束指标</w:t>
            </w:r>
          </w:p>
        </w:tc>
        <w:tc>
          <w:tcPr>
            <w:tcW w:w="3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县域综合商贸服务中心数量、覆盖率</w:t>
            </w:r>
          </w:p>
        </w:tc>
        <w:tc>
          <w:tcPr>
            <w:tcW w:w="2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rPr>
                <w:rFonts w:hint="default" w:ascii="Calibri" w:hAnsi="Calibri" w:cs="Times New Roman"/>
                <w:sz w:val="20"/>
                <w:szCs w:val="20"/>
              </w:rPr>
            </w:pPr>
          </w:p>
        </w:tc>
        <w:tc>
          <w:tcPr>
            <w:tcW w:w="3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县级物流配送中心数量、覆盖率</w:t>
            </w:r>
          </w:p>
        </w:tc>
        <w:tc>
          <w:tcPr>
            <w:tcW w:w="2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rPr>
                <w:rFonts w:hint="default" w:ascii="Calibri" w:hAnsi="Calibri" w:cs="Times New Roman"/>
                <w:sz w:val="20"/>
                <w:szCs w:val="20"/>
              </w:rPr>
            </w:pPr>
          </w:p>
        </w:tc>
        <w:tc>
          <w:tcPr>
            <w:tcW w:w="3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乡镇商贸中心数量、服务覆盖率</w:t>
            </w:r>
          </w:p>
        </w:tc>
        <w:tc>
          <w:tcPr>
            <w:tcW w:w="2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rPr>
                <w:rFonts w:hint="default" w:ascii="Calibri" w:hAnsi="Calibri" w:cs="Times New Roman"/>
                <w:sz w:val="20"/>
                <w:szCs w:val="20"/>
              </w:rPr>
            </w:pPr>
          </w:p>
        </w:tc>
        <w:tc>
          <w:tcPr>
            <w:tcW w:w="3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村级便民商店数量、覆盖率</w:t>
            </w:r>
          </w:p>
        </w:tc>
        <w:tc>
          <w:tcPr>
            <w:tcW w:w="2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rPr>
                <w:rFonts w:hint="default" w:ascii="Calibri" w:hAnsi="Calibri" w:cs="Times New Roman"/>
                <w:sz w:val="20"/>
                <w:szCs w:val="20"/>
              </w:rPr>
            </w:pPr>
          </w:p>
        </w:tc>
        <w:tc>
          <w:tcPr>
            <w:tcW w:w="3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“快递进村”数量、覆盖率</w:t>
            </w:r>
          </w:p>
        </w:tc>
        <w:tc>
          <w:tcPr>
            <w:tcW w:w="2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rPr>
                <w:rFonts w:hint="default" w:ascii="Calibri" w:hAnsi="Calibri" w:cs="Times New Roman"/>
                <w:sz w:val="20"/>
                <w:szCs w:val="20"/>
              </w:rPr>
            </w:pPr>
          </w:p>
        </w:tc>
        <w:tc>
          <w:tcPr>
            <w:tcW w:w="3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县域物流共同配送率</w:t>
            </w:r>
          </w:p>
        </w:tc>
        <w:tc>
          <w:tcPr>
            <w:tcW w:w="2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自选指标</w:t>
            </w:r>
          </w:p>
        </w:tc>
        <w:tc>
          <w:tcPr>
            <w:tcW w:w="3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培育龙头流通企业数量、覆盖县数</w:t>
            </w:r>
          </w:p>
        </w:tc>
        <w:tc>
          <w:tcPr>
            <w:tcW w:w="2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rPr>
                <w:rFonts w:hint="default" w:ascii="Calibri" w:hAnsi="Calibri" w:cs="Times New Roman"/>
                <w:sz w:val="20"/>
                <w:szCs w:val="20"/>
              </w:rPr>
            </w:pPr>
          </w:p>
        </w:tc>
        <w:tc>
          <w:tcPr>
            <w:tcW w:w="3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县域社会消费品零售额、年增速</w:t>
            </w:r>
          </w:p>
        </w:tc>
        <w:tc>
          <w:tcPr>
            <w:tcW w:w="2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rPr>
                <w:rFonts w:hint="default" w:ascii="Calibri" w:hAnsi="Calibri" w:cs="Times New Roman"/>
                <w:sz w:val="20"/>
                <w:szCs w:val="20"/>
              </w:rPr>
            </w:pPr>
          </w:p>
        </w:tc>
        <w:tc>
          <w:tcPr>
            <w:tcW w:w="3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乡镇集贸市场建设改造数量、占比</w:t>
            </w:r>
          </w:p>
        </w:tc>
        <w:tc>
          <w:tcPr>
            <w:tcW w:w="2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rPr>
                <w:rFonts w:hint="default" w:ascii="Calibri" w:hAnsi="Calibri" w:cs="Times New Roman"/>
                <w:sz w:val="20"/>
                <w:szCs w:val="20"/>
              </w:rPr>
            </w:pPr>
          </w:p>
        </w:tc>
        <w:tc>
          <w:tcPr>
            <w:tcW w:w="3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......</w:t>
            </w:r>
          </w:p>
        </w:tc>
        <w:tc>
          <w:tcPr>
            <w:tcW w:w="2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建设类型</w:t>
            </w:r>
          </w:p>
        </w:tc>
        <w:tc>
          <w:tcPr>
            <w:tcW w:w="3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基本型县名、数量、占比</w:t>
            </w:r>
          </w:p>
        </w:tc>
        <w:tc>
          <w:tcPr>
            <w:tcW w:w="423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2022年底数：     2025年目标：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rPr>
                <w:rFonts w:hint="default" w:ascii="Calibri" w:hAnsi="Calibri" w:cs="Times New Roman"/>
                <w:sz w:val="20"/>
                <w:szCs w:val="20"/>
              </w:rPr>
            </w:pPr>
          </w:p>
        </w:tc>
        <w:tc>
          <w:tcPr>
            <w:tcW w:w="3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增强型县名、数量、占比</w:t>
            </w:r>
          </w:p>
        </w:tc>
        <w:tc>
          <w:tcPr>
            <w:tcW w:w="423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2022年底数：     2025年目标：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rPr>
                <w:rFonts w:hint="default" w:ascii="Calibri" w:hAnsi="Calibri" w:cs="Times New Roman"/>
                <w:sz w:val="20"/>
                <w:szCs w:val="20"/>
              </w:rPr>
            </w:pPr>
          </w:p>
        </w:tc>
        <w:tc>
          <w:tcPr>
            <w:tcW w:w="3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提升型县名、数量、占比</w:t>
            </w:r>
          </w:p>
        </w:tc>
        <w:tc>
          <w:tcPr>
            <w:tcW w:w="423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2022年底数：     2025年目标：</w:t>
            </w:r>
          </w:p>
        </w:tc>
      </w:tr>
    </w:tbl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0" w:right="0"/>
        <w:jc w:val="both"/>
        <w:textAlignment w:val="auto"/>
        <w:rPr>
          <w:rFonts w:hint="eastAsia" w:ascii="仿宋_GB2312" w:hAnsi="仿宋_GB2312" w:eastAsia="仿宋_GB2312" w:cs="仿宋_GB2312"/>
          <w:sz w:val="24"/>
          <w:szCs w:val="22"/>
          <w:lang w:val="en-US"/>
        </w:rPr>
      </w:pPr>
      <w:r>
        <w:rPr>
          <w:rFonts w:hint="eastAsia" w:ascii="仿宋_GB2312" w:hAnsi="仿宋_GB2312" w:eastAsia="仿宋_GB2312" w:cs="仿宋_GB2312"/>
          <w:kern w:val="2"/>
          <w:sz w:val="24"/>
          <w:szCs w:val="22"/>
          <w:lang w:val="en-US" w:eastAsia="zh-CN" w:bidi="ar"/>
        </w:rPr>
        <w:t>注: 1.县城综合商贸服务中心、村级便民商店不列入中央财政支持方向，通过市场化手段推进建设改造。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0" w:right="0" w:firstLine="480" w:firstLineChars="200"/>
        <w:jc w:val="both"/>
        <w:textAlignment w:val="auto"/>
        <w:rPr>
          <w:rFonts w:hint="eastAsia" w:ascii="仿宋_GB2312" w:hAnsi="仿宋_GB2312" w:eastAsia="仿宋_GB2312" w:cs="仿宋_GB2312"/>
          <w:sz w:val="24"/>
          <w:szCs w:val="22"/>
          <w:lang w:val="en-US"/>
        </w:rPr>
      </w:pPr>
      <w:r>
        <w:rPr>
          <w:rFonts w:hint="eastAsia" w:ascii="仿宋_GB2312" w:hAnsi="仿宋_GB2312" w:eastAsia="仿宋_GB2312" w:cs="仿宋_GB2312"/>
          <w:kern w:val="2"/>
          <w:sz w:val="24"/>
          <w:szCs w:val="22"/>
          <w:lang w:val="en-US" w:eastAsia="zh-CN" w:bidi="ar"/>
        </w:rPr>
        <w:t>2.约束指标为《县域商业建设指南》所涉及的约束性指标，除人口稀少、欠发达县域，在具备的地区实现县乡村“三个全覆盖”。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0" w:right="0" w:firstLine="480" w:firstLineChars="200"/>
        <w:jc w:val="both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2"/>
          <w:sz w:val="24"/>
          <w:szCs w:val="22"/>
          <w:lang w:val="en-US" w:eastAsia="zh-CN" w:bidi="ar"/>
        </w:rPr>
        <w:t>3.建设类型由省级主管部门参照《县域商业建设指南》，结合摸底情况，对下辖县整县商业现状进行分类(基本型、增强型、提升型以及未达基本型)。在此基础上，指导各县因地制宜、自主选择到 2025年的目标类型(基本型、增强型、提升型)。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560" w:lineRule="exact"/>
        <w:ind w:right="0"/>
        <w:jc w:val="both"/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  <w:t>附件4：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560" w:lineRule="exact"/>
        <w:ind w:right="0"/>
        <w:jc w:val="center"/>
        <w:rPr>
          <w:rFonts w:hint="eastAsia" w:ascii="宋体" w:hAnsi="宋体" w:eastAsia="宋体" w:cs="宋体"/>
          <w:b/>
          <w:bCs/>
          <w:kern w:val="2"/>
          <w:sz w:val="44"/>
          <w:szCs w:val="44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kern w:val="2"/>
          <w:sz w:val="44"/>
          <w:szCs w:val="44"/>
          <w:lang w:val="en-US" w:eastAsia="zh-CN" w:bidi="ar"/>
        </w:rPr>
        <w:t>辖区商业概况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560" w:lineRule="exact"/>
        <w:ind w:right="0"/>
        <w:jc w:val="center"/>
        <w:rPr>
          <w:rFonts w:hint="eastAsia" w:ascii="宋体" w:hAnsi="宋体" w:eastAsia="宋体" w:cs="宋体"/>
          <w:b/>
          <w:bCs/>
          <w:kern w:val="2"/>
          <w:sz w:val="44"/>
          <w:szCs w:val="44"/>
          <w:lang w:val="en-US" w:eastAsia="zh-CN" w:bidi="ar"/>
        </w:rPr>
      </w:pPr>
    </w:p>
    <w:tbl>
      <w:tblPr>
        <w:tblStyle w:val="3"/>
        <w:tblW w:w="90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00"/>
        <w:gridCol w:w="5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"/>
              </w:rPr>
              <w:t>乡镇、办事处</w:t>
            </w:r>
          </w:p>
        </w:tc>
        <w:tc>
          <w:tcPr>
            <w:tcW w:w="526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"/>
              </w:rPr>
              <w:t>辖区户籍人口数量</w:t>
            </w:r>
          </w:p>
        </w:tc>
        <w:tc>
          <w:tcPr>
            <w:tcW w:w="526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"/>
              </w:rPr>
              <w:t>行政村/社区（标明数量、名称）</w:t>
            </w:r>
          </w:p>
        </w:tc>
        <w:tc>
          <w:tcPr>
            <w:tcW w:w="526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"/>
              </w:rPr>
              <w:t>林场（标明数量、名称）</w:t>
            </w:r>
          </w:p>
        </w:tc>
        <w:tc>
          <w:tcPr>
            <w:tcW w:w="526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"/>
              </w:rPr>
              <w:t>农场（标明数量、名称）</w:t>
            </w:r>
          </w:p>
        </w:tc>
        <w:tc>
          <w:tcPr>
            <w:tcW w:w="526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"/>
              </w:rPr>
              <w:t>农业合作社（标明数量、名称）</w:t>
            </w:r>
          </w:p>
        </w:tc>
        <w:tc>
          <w:tcPr>
            <w:tcW w:w="526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"/>
              </w:rPr>
              <w:t>5000㎡以上商贸中心（标明数量、名称、面积，办事处填写）</w:t>
            </w:r>
          </w:p>
        </w:tc>
        <w:tc>
          <w:tcPr>
            <w:tcW w:w="526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"/>
              </w:rPr>
              <w:t>5000㎡以上物流中心（标明数量、名称、面积，办事处填写）</w:t>
            </w:r>
          </w:p>
        </w:tc>
        <w:tc>
          <w:tcPr>
            <w:tcW w:w="526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"/>
              </w:rPr>
              <w:t>500㎡以上商贸中心（标明数量、名称、面积，乡镇填写）</w:t>
            </w:r>
          </w:p>
        </w:tc>
        <w:tc>
          <w:tcPr>
            <w:tcW w:w="526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"/>
              </w:rPr>
              <w:t>集贸（农贸）市场（标明数量、名称、面积）</w:t>
            </w:r>
          </w:p>
        </w:tc>
        <w:tc>
          <w:tcPr>
            <w:tcW w:w="526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both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"/>
              </w:rPr>
              <w:t>物流园区（名称、数量、面积）</w:t>
            </w:r>
          </w:p>
        </w:tc>
        <w:tc>
          <w:tcPr>
            <w:tcW w:w="526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both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"/>
              </w:rPr>
              <w:t>邮政快递企业（标明数量、名称）</w:t>
            </w:r>
          </w:p>
        </w:tc>
        <w:tc>
          <w:tcPr>
            <w:tcW w:w="526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both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"/>
              </w:rPr>
              <w:t>邮政快递网点数量</w:t>
            </w:r>
          </w:p>
        </w:tc>
        <w:tc>
          <w:tcPr>
            <w:tcW w:w="526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both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"/>
              </w:rPr>
              <w:t>村级便民商店数量（乡镇填写）</w:t>
            </w:r>
          </w:p>
        </w:tc>
        <w:tc>
          <w:tcPr>
            <w:tcW w:w="526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both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"/>
              </w:rPr>
              <w:t>冷库（标明名称、面积、数量、属于自用、公用或提供配送）</w:t>
            </w:r>
          </w:p>
        </w:tc>
        <w:tc>
          <w:tcPr>
            <w:tcW w:w="526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both"/>
              <w:textAlignment w:val="auto"/>
              <w:rPr>
                <w:rFonts w:hint="default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"/>
              </w:rPr>
              <w:t>物流配送情况（乡镇、林场、农场、村覆盖率，平均快递价格(上行)</w:t>
            </w:r>
          </w:p>
        </w:tc>
        <w:tc>
          <w:tcPr>
            <w:tcW w:w="5260" w:type="dxa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0" w:right="0" w:firstLine="560" w:firstLineChars="200"/>
        <w:jc w:val="both"/>
        <w:textAlignment w:val="auto"/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sectPr>
          <w:pgSz w:w="11906" w:h="16838"/>
          <w:pgMar w:top="2098" w:right="1531" w:bottom="1984" w:left="1531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"/>
        </w:rPr>
        <w:t>填表人：                联系方式：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both"/>
        <w:textAlignment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附件5：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center"/>
        <w:textAlignment w:val="center"/>
        <w:rPr>
          <w:rFonts w:hint="eastAsia" w:ascii="方正小标宋简体" w:hAnsi="方正小标宋简体" w:eastAsia="方正小标宋简体" w:cs="方正小标宋简体"/>
          <w:color w:val="000000"/>
          <w:sz w:val="36"/>
          <w:szCs w:val="36"/>
          <w:lang w:val="en-US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  <w:t>2024年度县域商业体系建设“试点县”计划支持项目清单</w:t>
      </w:r>
    </w:p>
    <w:p>
      <w:pPr>
        <w:keepNext w:val="0"/>
        <w:keepLines w:val="0"/>
        <w:widowControl w:val="0"/>
        <w:suppressLineNumbers w:val="0"/>
        <w:tabs>
          <w:tab w:val="left" w:pos="5038"/>
          <w:tab w:val="left" w:pos="5673"/>
          <w:tab w:val="left" w:pos="6308"/>
          <w:tab w:val="left" w:pos="6943"/>
          <w:tab w:val="left" w:pos="7578"/>
          <w:tab w:val="left" w:pos="8164"/>
          <w:tab w:val="left" w:pos="8760"/>
          <w:tab w:val="left" w:pos="9210"/>
          <w:tab w:val="left" w:pos="10185"/>
          <w:tab w:val="left" w:pos="10965"/>
          <w:tab w:val="left" w:pos="11730"/>
          <w:tab w:val="left" w:pos="12330"/>
          <w:tab w:val="left" w:pos="13230"/>
          <w:tab w:val="left" w:pos="14281"/>
        </w:tabs>
        <w:spacing w:before="0" w:beforeAutospacing="0" w:after="0" w:afterAutospacing="0"/>
        <w:ind w:left="0" w:right="0"/>
        <w:jc w:val="center"/>
        <w:rPr>
          <w:rFonts w:hint="eastAsia" w:ascii="仿宋" w:hAnsi="仿宋" w:eastAsia="仿宋" w:cs="仿宋"/>
          <w:sz w:val="24"/>
          <w:szCs w:val="24"/>
          <w:lang w:val="en-US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>单位名称（盖章）：</w:t>
      </w:r>
      <w:r>
        <w:rPr>
          <w:rFonts w:hint="eastAsia" w:ascii="仿宋_GB2312" w:hAnsi="仿宋_GB2312" w:eastAsia="仿宋_GB2312" w:cs="仿宋_GB2312"/>
          <w:color w:val="000000"/>
          <w:kern w:val="2"/>
          <w:sz w:val="28"/>
          <w:szCs w:val="28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color w:val="000000"/>
          <w:kern w:val="2"/>
          <w:sz w:val="28"/>
          <w:szCs w:val="28"/>
          <w:lang w:val="en-US" w:eastAsia="zh-CN" w:bidi="ar"/>
        </w:rPr>
        <w:t xml:space="preserve">     填报人：</w:t>
      </w:r>
      <w:r>
        <w:rPr>
          <w:rFonts w:hint="eastAsia" w:ascii="仿宋_GB2312" w:hAnsi="仿宋_GB2312" w:eastAsia="仿宋_GB2312" w:cs="仿宋_GB2312"/>
          <w:color w:val="000000"/>
          <w:kern w:val="2"/>
          <w:sz w:val="28"/>
          <w:szCs w:val="28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color w:val="000000"/>
          <w:kern w:val="2"/>
          <w:sz w:val="28"/>
          <w:szCs w:val="28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color w:val="000000"/>
          <w:kern w:val="2"/>
          <w:sz w:val="28"/>
          <w:szCs w:val="28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color w:val="000000"/>
          <w:kern w:val="2"/>
          <w:sz w:val="28"/>
          <w:szCs w:val="28"/>
          <w:lang w:val="en-US" w:eastAsia="zh-CN" w:bidi="ar"/>
        </w:rPr>
        <w:t xml:space="preserve">         联系方式：</w:t>
      </w:r>
      <w:r>
        <w:rPr>
          <w:rFonts w:hint="eastAsia" w:ascii="仿宋_GB2312" w:hAnsi="仿宋_GB2312" w:eastAsia="仿宋_GB2312" w:cs="仿宋_GB2312"/>
          <w:color w:val="000000"/>
          <w:kern w:val="2"/>
          <w:sz w:val="28"/>
          <w:szCs w:val="28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color w:val="000000"/>
          <w:kern w:val="2"/>
          <w:sz w:val="28"/>
          <w:szCs w:val="28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color w:val="000000"/>
          <w:kern w:val="2"/>
          <w:sz w:val="28"/>
          <w:szCs w:val="28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color w:val="000000"/>
          <w:kern w:val="2"/>
          <w:sz w:val="28"/>
          <w:szCs w:val="28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color w:val="000000"/>
          <w:kern w:val="2"/>
          <w:sz w:val="28"/>
          <w:szCs w:val="28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color w:val="000000"/>
          <w:kern w:val="2"/>
          <w:sz w:val="28"/>
          <w:szCs w:val="28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color w:val="000000"/>
          <w:kern w:val="2"/>
          <w:sz w:val="28"/>
          <w:szCs w:val="28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color w:val="000000"/>
          <w:kern w:val="2"/>
          <w:sz w:val="28"/>
          <w:szCs w:val="28"/>
          <w:lang w:val="en-US" w:eastAsia="zh-CN" w:bidi="ar"/>
        </w:rPr>
        <w:tab/>
      </w:r>
      <w:r>
        <w:rPr>
          <w:rFonts w:hint="eastAsia" w:ascii="仿宋_GB2312" w:hAnsi="仿宋_GB2312" w:eastAsia="仿宋_GB2312" w:cs="仿宋_GB2312"/>
          <w:color w:val="000000"/>
          <w:kern w:val="2"/>
          <w:sz w:val="28"/>
          <w:szCs w:val="28"/>
          <w:lang w:val="en-US" w:eastAsia="zh-CN" w:bidi="ar"/>
        </w:rPr>
        <w:tab/>
      </w:r>
    </w:p>
    <w:tbl>
      <w:tblPr>
        <w:tblStyle w:val="2"/>
        <w:tblpPr w:leftFromText="180" w:rightFromText="180" w:vertAnchor="text" w:horzAnchor="page" w:tblpXSpec="center" w:tblpY="220"/>
        <w:tblOverlap w:val="never"/>
        <w:tblW w:w="1387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6"/>
        <w:gridCol w:w="1030"/>
        <w:gridCol w:w="666"/>
        <w:gridCol w:w="702"/>
        <w:gridCol w:w="736"/>
        <w:gridCol w:w="718"/>
        <w:gridCol w:w="632"/>
        <w:gridCol w:w="789"/>
        <w:gridCol w:w="702"/>
        <w:gridCol w:w="610"/>
        <w:gridCol w:w="615"/>
        <w:gridCol w:w="847"/>
        <w:gridCol w:w="803"/>
        <w:gridCol w:w="785"/>
        <w:gridCol w:w="615"/>
        <w:gridCol w:w="926"/>
        <w:gridCol w:w="1083"/>
        <w:gridCol w:w="96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5" w:hRule="atLeast"/>
          <w:jc w:val="center"/>
        </w:trPr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bidi="ar"/>
              </w:rPr>
            </w:pPr>
            <w:r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eastAsia="zh-CN" w:bidi="ar"/>
              </w:rPr>
              <w:t>序号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bidi="ar"/>
              </w:rPr>
            </w:pPr>
            <w:r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eastAsia="zh-CN" w:bidi="ar"/>
              </w:rPr>
              <w:t>支持项目全称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bidi="ar"/>
              </w:rPr>
            </w:pPr>
            <w:r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eastAsia="zh-CN" w:bidi="ar"/>
              </w:rPr>
              <w:t>支持方向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bidi="ar"/>
              </w:rPr>
            </w:pPr>
            <w:r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eastAsia="zh-CN" w:bidi="ar"/>
              </w:rPr>
              <w:t>项目年度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bidi="ar"/>
              </w:rPr>
            </w:pPr>
            <w:r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eastAsia="zh-CN" w:bidi="ar"/>
              </w:rPr>
              <w:t>建设内容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bidi="ar"/>
              </w:rPr>
            </w:pPr>
            <w:r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eastAsia="zh-CN" w:bidi="ar"/>
              </w:rPr>
              <w:t>实现功能</w:t>
            </w:r>
          </w:p>
        </w:tc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bidi="ar"/>
              </w:rPr>
            </w:pPr>
            <w:r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eastAsia="zh-CN" w:bidi="ar"/>
              </w:rPr>
              <w:t>建设周期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bidi="ar"/>
              </w:rPr>
            </w:pPr>
            <w:r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eastAsia="zh-CN" w:bidi="ar"/>
              </w:rPr>
              <w:t>建设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bidi="ar"/>
              </w:rPr>
            </w:pPr>
            <w:r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eastAsia="zh-CN" w:bidi="ar"/>
              </w:rPr>
              <w:t>进度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bidi="ar"/>
              </w:rPr>
            </w:pPr>
            <w:r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eastAsia="zh-CN" w:bidi="ar"/>
              </w:rPr>
              <w:t>承办企业全称</w:t>
            </w:r>
          </w:p>
        </w:tc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bidi="ar"/>
              </w:rPr>
            </w:pPr>
            <w:r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eastAsia="zh-CN" w:bidi="ar"/>
              </w:rPr>
              <w:t>计划支持比例</w:t>
            </w:r>
            <w:r>
              <w:rPr>
                <w:rFonts w:hint="eastAsia" w:ascii="黑体" w:hAnsi="宋体" w:eastAsia="黑体" w:cs="黑体"/>
                <w:kern w:val="0"/>
                <w:sz w:val="13"/>
                <w:szCs w:val="13"/>
                <w:lang w:val="en-US" w:eastAsia="zh-CN" w:bidi="ar"/>
              </w:rPr>
              <w:t>（%）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bidi="ar"/>
              </w:rPr>
            </w:pPr>
            <w:r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eastAsia="zh-CN" w:bidi="ar"/>
              </w:rPr>
              <w:t>总投资额</w:t>
            </w:r>
            <w:r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eastAsia="zh-CN" w:bidi="ar"/>
              </w:rPr>
              <w:br w:type="textWrapping"/>
            </w:r>
            <w:r>
              <w:rPr>
                <w:rFonts w:hint="eastAsia" w:ascii="黑体" w:hAnsi="宋体" w:eastAsia="黑体" w:cs="黑体"/>
                <w:kern w:val="0"/>
                <w:sz w:val="13"/>
                <w:szCs w:val="13"/>
                <w:lang w:val="en-US" w:eastAsia="zh-CN" w:bidi="ar"/>
              </w:rPr>
              <w:t>(万元)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bidi="ar"/>
              </w:rPr>
            </w:pPr>
            <w:r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eastAsia="zh-CN" w:bidi="ar"/>
              </w:rPr>
              <w:t>县域商业体系建设行动支持方向投资额度</w:t>
            </w:r>
            <w:r>
              <w:rPr>
                <w:rFonts w:hint="eastAsia" w:ascii="黑体" w:hAnsi="宋体" w:eastAsia="黑体" w:cs="黑体"/>
                <w:kern w:val="0"/>
                <w:sz w:val="13"/>
                <w:szCs w:val="13"/>
                <w:lang w:val="en-US" w:eastAsia="zh-CN" w:bidi="ar"/>
              </w:rPr>
              <w:t>（万元）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bidi="ar"/>
              </w:rPr>
            </w:pPr>
            <w:r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eastAsia="zh-CN" w:bidi="ar"/>
              </w:rPr>
              <w:t>中央财政资金支持金额</w:t>
            </w:r>
            <w:r>
              <w:rPr>
                <w:rFonts w:hint="eastAsia" w:ascii="黑体" w:hAnsi="宋体" w:eastAsia="黑体" w:cs="黑体"/>
                <w:kern w:val="0"/>
                <w:sz w:val="13"/>
                <w:szCs w:val="13"/>
                <w:lang w:val="en-US" w:eastAsia="zh-CN" w:bidi="ar"/>
              </w:rPr>
              <w:t>(万元)</w:t>
            </w:r>
          </w:p>
        </w:tc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bidi="ar"/>
              </w:rPr>
            </w:pPr>
            <w:r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eastAsia="zh-CN" w:bidi="ar"/>
              </w:rPr>
              <w:t>地方财政资金支持金额</w:t>
            </w:r>
            <w:r>
              <w:rPr>
                <w:rFonts w:hint="eastAsia" w:ascii="黑体" w:hAnsi="宋体" w:eastAsia="黑体" w:cs="黑体"/>
                <w:kern w:val="0"/>
                <w:sz w:val="13"/>
                <w:szCs w:val="13"/>
                <w:lang w:val="en-US" w:eastAsia="zh-CN" w:bidi="ar"/>
              </w:rPr>
              <w:t>(万元)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bidi="ar"/>
              </w:rPr>
            </w:pPr>
            <w:r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eastAsia="zh-CN" w:bidi="ar"/>
              </w:rPr>
              <w:t>企业配套资金</w:t>
            </w:r>
            <w:r>
              <w:rPr>
                <w:rFonts w:hint="eastAsia" w:ascii="黑体" w:hAnsi="宋体" w:eastAsia="黑体" w:cs="黑体"/>
                <w:kern w:val="0"/>
                <w:sz w:val="13"/>
                <w:szCs w:val="13"/>
                <w:lang w:val="en-US" w:eastAsia="zh-CN" w:bidi="ar"/>
              </w:rPr>
              <w:t>(万元)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bidi="ar"/>
              </w:rPr>
            </w:pPr>
            <w:r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eastAsia="zh-CN" w:bidi="ar"/>
              </w:rPr>
              <w:t>是否进行可行性研究或专家评审等并出具书面意见</w:t>
            </w: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bidi="ar"/>
              </w:rPr>
            </w:pPr>
            <w:r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eastAsia="zh-CN" w:bidi="ar"/>
              </w:rPr>
              <w:t>是否引入审计、财评等第三方参与项目决策、招标等重要环节监督</w:t>
            </w: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textAlignment w:val="center"/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bidi="ar"/>
              </w:rPr>
            </w:pPr>
            <w:r>
              <w:rPr>
                <w:rFonts w:hint="eastAsia" w:ascii="黑体" w:hAnsi="宋体" w:eastAsia="黑体" w:cs="黑体"/>
                <w:kern w:val="0"/>
                <w:sz w:val="18"/>
                <w:szCs w:val="18"/>
                <w:lang w:val="en-US" w:eastAsia="zh-CN" w:bidi="ar"/>
              </w:rPr>
              <w:t>是否已获发改、邮政、供销、农产品供应链等中央财政资金支持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  <w:jc w:val="center"/>
        </w:trPr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"/>
              </w:rPr>
              <w:t>1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  <w:jc w:val="center"/>
        </w:trPr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"/>
              </w:rPr>
              <w:t>2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"/>
              </w:rPr>
              <w:t>3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both"/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0" w:right="0" w:firstLine="640" w:firstLineChars="200"/>
        <w:jc w:val="both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  <w:sectPr>
          <w:pgSz w:w="16838" w:h="11906" w:orient="landscape"/>
          <w:pgMar w:top="1531" w:right="2098" w:bottom="1531" w:left="1984" w:header="851" w:footer="992" w:gutter="0"/>
          <w:cols w:space="425" w:num="1"/>
          <w:docGrid w:type="lines" w:linePitch="312" w:charSpace="0"/>
        </w:sect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U1YWM2YzFjYzdlNWU3MTFjMjlmZmVkZmU4OGY0ZGEifQ=="/>
  </w:docVars>
  <w:rsids>
    <w:rsidRoot w:val="32583FA2"/>
    <w:rsid w:val="32583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2024-01-23T03:03:00Z</dcterms:created>
  <dc:creator>98</dc:creator>
  <cp:lastModifiedBy>98</cp:lastModifiedBy>
  <dcterms:modified xsi:type="dcterms:W3CDTF">2024-01-23T03:08:59Z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1CA0D438E1C84768B21D6679966FE2E3_11</vt:lpwstr>
  </property>
</Properties>
</file>