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内蒙古自治区政府职能转变和数字政府</w:t>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建设领导小组办公室关于印发《内蒙古自治区</w:t>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政务服务效能监督办法》的通知</w:t>
      </w:r>
    </w:p>
    <w:p>
      <w:pPr>
        <w:rPr>
          <w:rFonts w:hint="eastAsi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各盟行政公署、市人民政府，自治区各委、办、厅、局，各大企 业、事业单位：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为规范全区政务服务，提高行政效能，现将《内蒙古自治区 政务服务效能监督办法》印发给你们，请结合实际认真贯彻执行。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_GB2312" w:hAnsi="仿宋_GB2312" w:eastAsia="仿宋_GB2312" w:cs="仿宋_GB2312"/>
          <w:sz w:val="32"/>
          <w:szCs w:val="32"/>
        </w:rPr>
      </w:pPr>
      <w:r>
        <w:drawing>
          <wp:anchor distT="0" distB="0" distL="0" distR="0" simplePos="0" relativeHeight="251659264" behindDoc="0" locked="0" layoutInCell="1" allowOverlap="1">
            <wp:simplePos x="0" y="0"/>
            <wp:positionH relativeFrom="column">
              <wp:posOffset>4187825</wp:posOffset>
            </wp:positionH>
            <wp:positionV relativeFrom="paragraph">
              <wp:posOffset>99695</wp:posOffset>
            </wp:positionV>
            <wp:extent cx="1362075" cy="1285875"/>
            <wp:effectExtent l="0" t="0" r="9525" b="9525"/>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4"/>
                    <a:stretch>
                      <a:fillRect/>
                    </a:stretch>
                  </pic:blipFill>
                  <pic:spPr>
                    <a:xfrm>
                      <a:off x="0" y="0"/>
                      <a:ext cx="1362075" cy="128587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内蒙古合这政府职脂变和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数字政用论设领导小须公室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2024</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lang w:val="en-US" w:eastAsia="zh-CN"/>
        </w:rPr>
        <w:t>5月9</w:t>
      </w:r>
      <w:r>
        <w:rPr>
          <w:rFonts w:hint="eastAsia" w:ascii="仿宋_GB2312" w:hAnsi="仿宋_GB2312" w:eastAsia="仿宋_GB2312" w:cs="仿宋_GB2312"/>
          <w:sz w:val="32"/>
          <w:szCs w:val="32"/>
        </w:rPr>
        <w:t>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(此件依申请公开)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800" w:firstLineChars="200"/>
        <w:jc w:val="center"/>
        <w:textAlignment w:val="auto"/>
        <w:rPr>
          <w:rFonts w:hint="eastAsia" w:ascii="黑体" w:hAnsi="黑体" w:eastAsia="黑体" w:cs="黑体"/>
          <w:sz w:val="40"/>
          <w:szCs w:val="40"/>
        </w:rPr>
      </w:pPr>
      <w:r>
        <w:rPr>
          <w:rFonts w:hint="eastAsia" w:ascii="黑体" w:hAnsi="黑体" w:eastAsia="黑体" w:cs="黑体"/>
          <w:sz w:val="40"/>
          <w:szCs w:val="40"/>
        </w:rPr>
        <w:t>内蒙古自治区政务服务效能监督办法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rPr>
      </w:pPr>
      <w:r>
        <w:rPr>
          <w:rFonts w:hint="eastAsia" w:ascii="黑体" w:hAnsi="黑体" w:eastAsia="黑体" w:cs="黑体"/>
          <w:sz w:val="32"/>
          <w:szCs w:val="32"/>
        </w:rPr>
        <w:t>第一章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总</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第一条</w:t>
      </w:r>
      <w:r>
        <w:rPr>
          <w:rFonts w:hint="eastAsia" w:ascii="仿宋_GB2312" w:hAnsi="仿宋_GB2312" w:eastAsia="仿宋_GB2312" w:cs="仿宋_GB2312"/>
          <w:sz w:val="32"/>
          <w:szCs w:val="32"/>
        </w:rPr>
        <w:t xml:space="preserve">  为规范内蒙古自治区政务服务的全流程监督工作，提高政务服务效能，助力营商环境持续优化，根据《优化营商环境条例》《国务院关于在线政务服务的若干规定》,结合自治区实际，制定本办法。</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第二条</w:t>
      </w:r>
      <w:r>
        <w:rPr>
          <w:rFonts w:hint="eastAsia" w:ascii="仿宋_GB2312" w:hAnsi="仿宋_GB2312" w:eastAsia="仿宋_GB2312" w:cs="仿宋_GB2312"/>
          <w:sz w:val="32"/>
          <w:szCs w:val="32"/>
        </w:rPr>
        <w:t xml:space="preserve"> 本办法所称政务服务效能监督，是指依托全区一体化政务服务平台，各级政务服务管理机构对进驻政务服务场所的政务服务实施机构及政务服务事项运行进行全过程闭环管理的活动，涵盖事前、事中、事后全流程，是支撑政务服务事项公开透明运行的重要保障措施。</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第三条</w:t>
      </w:r>
      <w:r>
        <w:rPr>
          <w:rFonts w:hint="eastAsia" w:ascii="仿宋_GB2312" w:hAnsi="仿宋_GB2312" w:eastAsia="仿宋_GB2312" w:cs="仿宋_GB2312"/>
          <w:sz w:val="32"/>
          <w:szCs w:val="32"/>
        </w:rPr>
        <w:t xml:space="preserve"> 本办法适用于内蒙古自治区各级政务服务管理机  构在政务服务实施机构办理政务服务事项过程中的效能监督工 作。效能监督工作应当覆盖自治区、盟市、旗县(市、区)政务 服务中心(含部门分中心),苏木乡镇(街道)便民服务中心、</w:t>
      </w:r>
      <w:bookmarkStart w:id="0" w:name="_GoBack"/>
      <w:bookmarkEnd w:id="0"/>
      <w:r>
        <w:rPr>
          <w:rFonts w:hint="eastAsia" w:ascii="仿宋_GB2312" w:hAnsi="仿宋_GB2312" w:eastAsia="仿宋_GB2312" w:cs="仿宋_GB2312"/>
          <w:sz w:val="32"/>
          <w:szCs w:val="32"/>
        </w:rPr>
        <w:t xml:space="preserve"> 嘎查村(社区)便民服务站等政务服务场所，包含内蒙古政务服 务网、“蒙速办”移动端、自助终端等政务服务平台。</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第四条 </w:t>
      </w:r>
      <w:r>
        <w:rPr>
          <w:rFonts w:hint="eastAsia" w:ascii="仿宋_GB2312" w:hAnsi="仿宋_GB2312" w:eastAsia="仿宋_GB2312" w:cs="仿宋_GB2312"/>
          <w:sz w:val="32"/>
          <w:szCs w:val="32"/>
        </w:rPr>
        <w:t>政务服务效能监督工作应遵循依法依规、公开透 明、高效便捷、问题导向的原则。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第二章</w:t>
      </w: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监督主体和对象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第五条 </w:t>
      </w:r>
      <w:r>
        <w:rPr>
          <w:rFonts w:hint="eastAsia" w:ascii="仿宋_GB2312" w:hAnsi="仿宋_GB2312" w:eastAsia="仿宋_GB2312" w:cs="仿宋_GB2312"/>
          <w:sz w:val="32"/>
          <w:szCs w:val="32"/>
        </w:rPr>
        <w:t>由自治区、盟市、旗县(市、区)三级政务服务管理机 构作为监督主体，负责面向本级政务服务实施机构的效能监督工 作和对下辖地区政务服务管理机构的指导工作。各级政务服务管 理机构需明确具体机构和人员，与本级政务服务实施机构协调衔接。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CESI黑体-GB2312" w:hAnsi="CESI黑体-GB2312" w:eastAsia="CESI黑体-GB2312" w:cs="CESI黑体-GB2312"/>
          <w:b/>
          <w:bCs/>
          <w:sz w:val="32"/>
          <w:szCs w:val="32"/>
        </w:rPr>
      </w:pPr>
      <w:r>
        <w:rPr>
          <w:rFonts w:hint="eastAsia" w:ascii="CESI黑体-GB2312" w:hAnsi="CESI黑体-GB2312" w:eastAsia="CESI黑体-GB2312" w:cs="CESI黑体-GB2312"/>
          <w:b/>
          <w:bCs/>
          <w:sz w:val="32"/>
          <w:szCs w:val="32"/>
        </w:rPr>
        <w:t>第三章</w:t>
      </w:r>
      <w:r>
        <w:rPr>
          <w:rFonts w:hint="eastAsia" w:ascii="CESI黑体-GB2312" w:hAnsi="CESI黑体-GB2312" w:eastAsia="CESI黑体-GB2312" w:cs="CESI黑体-GB2312"/>
          <w:b/>
          <w:bCs/>
          <w:sz w:val="32"/>
          <w:szCs w:val="32"/>
          <w:lang w:val="en-US" w:eastAsia="zh-CN"/>
        </w:rPr>
        <w:t xml:space="preserve"> </w:t>
      </w:r>
      <w:r>
        <w:rPr>
          <w:rFonts w:hint="eastAsia" w:ascii="CESI黑体-GB2312" w:hAnsi="CESI黑体-GB2312" w:eastAsia="CESI黑体-GB2312" w:cs="CESI黑体-GB2312"/>
          <w:b/>
          <w:bCs/>
          <w:sz w:val="32"/>
          <w:szCs w:val="32"/>
        </w:rPr>
        <w:t>监督内容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第六条 </w:t>
      </w:r>
      <w:r>
        <w:rPr>
          <w:rFonts w:hint="eastAsia" w:ascii="仿宋_GB2312" w:hAnsi="仿宋_GB2312" w:eastAsia="仿宋_GB2312" w:cs="仿宋_GB2312"/>
          <w:sz w:val="32"/>
          <w:szCs w:val="32"/>
        </w:rPr>
        <w:t>对内蒙古自治区各级政务服务实施机构所办理政 务服务事项的监察数据推送指标、办件指标、证照指标、“好差 评”指标等方面进行监控，对异常情况发出预警信号，并通过“黄牌”和“红牌”方式进行提醒，开展统计分析。</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第七条</w:t>
      </w:r>
      <w:r>
        <w:rPr>
          <w:rFonts w:hint="eastAsia" w:ascii="仿宋_GB2312" w:hAnsi="仿宋_GB2312" w:eastAsia="仿宋_GB2312" w:cs="仿宋_GB2312"/>
          <w:sz w:val="32"/>
          <w:szCs w:val="32"/>
        </w:rPr>
        <w:t xml:space="preserve"> 效能监督包括以下内容：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(一)数据推送指标。对自治区各级政务服务实施机构业务 办理产生的所有非涉密办件数据进行监督，包括使用全区一体化 政务服务平台运行管理系统和使用其他系统(国家部委系统、自 治区部门系统、其他自行建设系统)的办件数据，主要监督数据 推送时效性、准确性、完整性等。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(二)事项办理指标。对自治区各级政务服务实施机构办理 政务服务事项流程进行监督，包括预审时限、办结时限、一次性 补正告知、流程完整性、异常状态、特别程序、收费等情况。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(三)电子证照指标。各级政务服务管理机构对电子证照上  传情况进行监督，包括政务服务实施机构是否按照“应归尽归” 原则将电子证照数据汇聚至全区一体化政务服务平台，归集至电  子证照库的数据是否实现标准化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规范化，是否符合国家政务服务平台电子证照工程标准及其他规范，存量证照是否完成标准化改造。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(四)政务服务“好差评”指标。各级政务服务管理机构对本年度已归集的政务服务“好差评”数据进行监督，包括相关政务服务实施机构按照《内蒙古自治区政务服务“好差评”管理办法》规定处理评价的情况。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(五)“高效办成一件事”办理指标。以“高效办成一件事” 事项清单为基准，各级政务服务管理机构对政务服务实施机构  “高效办成一件事”中涉及的子事项办理时限、办件状态等工作情况进行合规性监察。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(六)工程建设项目审批指标。各级政务服务管理机构以政 务服务事项平台事项为基准，对各级政务服务实施机构工程建设 项目审批的办件时效、办理要素等工作情况进行合规性监察。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(七)政务服务中心运行指标。各级政务服务管理机构对本 级及所属地区政务服务中心事项进驻、实质运行、高效审批、规范服务等审批服务行为及窗口服务标准化运行情况进行监察。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(八)其他指标。本办法监督内容包含且不限于以上指标， 具体指标和判断规则参照《内蒙古自治区政务服务效能监督判断 规则》执行，并结合实际情况适时调整，更新发布。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CESI黑体-GB2312" w:hAnsi="CESI黑体-GB2312" w:eastAsia="CESI黑体-GB2312" w:cs="CESI黑体-GB2312"/>
          <w:b/>
          <w:bCs/>
          <w:sz w:val="32"/>
          <w:szCs w:val="32"/>
        </w:rPr>
      </w:pPr>
      <w:r>
        <w:rPr>
          <w:rFonts w:hint="eastAsia" w:ascii="CESI黑体-GB2312" w:hAnsi="CESI黑体-GB2312" w:eastAsia="CESI黑体-GB2312" w:cs="CESI黑体-GB2312"/>
          <w:b/>
          <w:bCs/>
          <w:sz w:val="32"/>
          <w:szCs w:val="32"/>
        </w:rPr>
        <w:t>第四章</w:t>
      </w:r>
      <w:r>
        <w:rPr>
          <w:rFonts w:hint="eastAsia" w:ascii="CESI黑体-GB2312" w:hAnsi="CESI黑体-GB2312" w:eastAsia="CESI黑体-GB2312" w:cs="CESI黑体-GB2312"/>
          <w:b/>
          <w:bCs/>
          <w:sz w:val="32"/>
          <w:szCs w:val="32"/>
          <w:lang w:val="en-US" w:eastAsia="zh-CN"/>
        </w:rPr>
        <w:t xml:space="preserve"> </w:t>
      </w:r>
      <w:r>
        <w:rPr>
          <w:rFonts w:hint="eastAsia" w:ascii="CESI黑体-GB2312" w:hAnsi="CESI黑体-GB2312" w:eastAsia="CESI黑体-GB2312" w:cs="CESI黑体-GB2312"/>
          <w:b/>
          <w:bCs/>
          <w:sz w:val="32"/>
          <w:szCs w:val="32"/>
        </w:rPr>
        <w:t>监督结果应用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第八条</w:t>
      </w:r>
      <w:r>
        <w:rPr>
          <w:rFonts w:hint="eastAsia" w:ascii="仿宋_GB2312" w:hAnsi="仿宋_GB2312" w:eastAsia="仿宋_GB2312" w:cs="仿宋_GB2312"/>
          <w:sz w:val="32"/>
          <w:szCs w:val="32"/>
        </w:rPr>
        <w:t xml:space="preserve"> 各级政务服务管理机构应对监督过程中发现的问 题及时梳理归纳，核查研判异议申诉，定期向被监督部门反馈，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将监督结果作为优化政务服务的重要依据，倒逼政务服务效能提升。</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第九条</w:t>
      </w:r>
      <w:r>
        <w:rPr>
          <w:rFonts w:hint="eastAsia" w:ascii="仿宋_GB2312" w:hAnsi="仿宋_GB2312" w:eastAsia="仿宋_GB2312" w:cs="仿宋_GB2312"/>
          <w:sz w:val="32"/>
          <w:szCs w:val="32"/>
        </w:rPr>
        <w:t xml:space="preserve"> 各级政务服务实施机构对被监督出的问题制定整 改方案、限期整改，定期反馈整改进度、报送整改结果。整改方案应明确整改的内容、措施、完成时限、责任人等。对存在异议 的问题或监察结果，可向同级政务服务管理机构提出申诉。</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第十条 </w:t>
      </w:r>
      <w:r>
        <w:rPr>
          <w:rFonts w:hint="eastAsia" w:ascii="仿宋_GB2312" w:hAnsi="仿宋_GB2312" w:eastAsia="仿宋_GB2312" w:cs="仿宋_GB2312"/>
          <w:sz w:val="32"/>
          <w:szCs w:val="32"/>
        </w:rPr>
        <w:t>各级政务服务管理机构对工作成效显著、具有创新 亮点的政务服务实施机构，进行成果宣传和经验推广。</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第十一条 </w:t>
      </w:r>
      <w:r>
        <w:rPr>
          <w:rFonts w:hint="eastAsia" w:ascii="仿宋_GB2312" w:hAnsi="仿宋_GB2312" w:eastAsia="仿宋_GB2312" w:cs="仿宋_GB2312"/>
          <w:sz w:val="32"/>
          <w:szCs w:val="32"/>
        </w:rPr>
        <w:t xml:space="preserve"> 各级政务服务管理机构的监督人员在政务服务 效能监督过程中，严格遵守相关法律法规，对于存在滥用职权、 徇私舞弊，泄露监督过程中所知悉的国家秘密、商业及个人敏感数据的，对直接责任人员和负责领导依法依规向相关部门转办问 题线索。</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第十二条 </w:t>
      </w:r>
      <w:r>
        <w:rPr>
          <w:rFonts w:hint="eastAsia" w:ascii="仿宋_GB2312" w:hAnsi="仿宋_GB2312" w:eastAsia="仿宋_GB2312" w:cs="仿宋_GB2312"/>
          <w:sz w:val="32"/>
          <w:szCs w:val="32"/>
        </w:rPr>
        <w:t>各级政务服务管理机构和政务服务实施机构可 结合本办法，对本地区、本部门相关业务场景制定专项政务服务 效能管理规则，实行制度化规范化管理。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CESI黑体-GB2312" w:hAnsi="CESI黑体-GB2312" w:eastAsia="CESI黑体-GB2312" w:cs="CESI黑体-GB2312"/>
          <w:b/>
          <w:bCs/>
          <w:sz w:val="32"/>
          <w:szCs w:val="32"/>
        </w:rPr>
      </w:pPr>
      <w:r>
        <w:rPr>
          <w:rFonts w:hint="eastAsia" w:ascii="CESI黑体-GB2312" w:hAnsi="CESI黑体-GB2312" w:eastAsia="CESI黑体-GB2312" w:cs="CESI黑体-GB2312"/>
          <w:b/>
          <w:bCs/>
          <w:sz w:val="32"/>
          <w:szCs w:val="32"/>
        </w:rPr>
        <w:t>第五章</w:t>
      </w:r>
      <w:r>
        <w:rPr>
          <w:rFonts w:hint="eastAsia" w:ascii="CESI黑体-GB2312" w:hAnsi="CESI黑体-GB2312" w:eastAsia="CESI黑体-GB2312" w:cs="CESI黑体-GB2312"/>
          <w:b/>
          <w:bCs/>
          <w:sz w:val="32"/>
          <w:szCs w:val="32"/>
          <w:lang w:val="en-US" w:eastAsia="zh-CN"/>
        </w:rPr>
        <w:t xml:space="preserve"> </w:t>
      </w:r>
      <w:r>
        <w:rPr>
          <w:rFonts w:hint="eastAsia" w:ascii="CESI黑体-GB2312" w:hAnsi="CESI黑体-GB2312" w:eastAsia="CESI黑体-GB2312" w:cs="CESI黑体-GB2312"/>
          <w:b/>
          <w:bCs/>
          <w:sz w:val="32"/>
          <w:szCs w:val="32"/>
        </w:rPr>
        <w:t>附</w:t>
      </w:r>
      <w:r>
        <w:rPr>
          <w:rFonts w:hint="eastAsia" w:ascii="CESI黑体-GB2312" w:hAnsi="CESI黑体-GB2312" w:eastAsia="CESI黑体-GB2312" w:cs="CESI黑体-GB2312"/>
          <w:b/>
          <w:bCs/>
          <w:sz w:val="32"/>
          <w:szCs w:val="32"/>
          <w:lang w:val="en-US" w:eastAsia="zh-CN"/>
        </w:rPr>
        <w:t xml:space="preserve"> </w:t>
      </w:r>
      <w:r>
        <w:rPr>
          <w:rFonts w:hint="eastAsia" w:ascii="CESI黑体-GB2312" w:hAnsi="CESI黑体-GB2312" w:eastAsia="CESI黑体-GB2312" w:cs="CESI黑体-GB2312"/>
          <w:b/>
          <w:bCs/>
          <w:sz w:val="32"/>
          <w:szCs w:val="32"/>
        </w:rPr>
        <w:t>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第十三条</w:t>
      </w:r>
      <w:r>
        <w:rPr>
          <w:rFonts w:hint="eastAsia" w:ascii="仿宋_GB2312" w:hAnsi="仿宋_GB2312" w:eastAsia="仿宋_GB2312" w:cs="仿宋_GB2312"/>
          <w:sz w:val="32"/>
          <w:szCs w:val="32"/>
        </w:rPr>
        <w:t xml:space="preserve"> 本办法自印发之日起施行。</w:t>
      </w: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抄送：自治区党委相关部门。</w:t>
      </w:r>
    </w:p>
    <w:p/>
    <w:sectPr>
      <w:pgSz w:w="11906" w:h="16838"/>
      <w:pgMar w:top="1440" w:right="1633" w:bottom="1440" w:left="163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CESI黑体-GB2312">
    <w:panose1 w:val="02000500000000000000"/>
    <w:charset w:val="86"/>
    <w:family w:val="auto"/>
    <w:pitch w:val="default"/>
    <w:sig w:usb0="800002BF" w:usb1="184F6CF8" w:usb2="00000012" w:usb3="00000000" w:csb0="0004000F" w:csb1="00000000"/>
  </w:font>
  <w:font w:name="MathJax_Vector">
    <w:panose1 w:val="02000603000000000000"/>
    <w:charset w:val="00"/>
    <w:family w:val="auto"/>
    <w:pitch w:val="default"/>
    <w:sig w:usb0="00000001" w:usb1="0000002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I4YTk3NTA5YTVmNGFiY2Q5YjlmMzI1ZTU4NTI0YTMifQ=="/>
  </w:docVars>
  <w:rsids>
    <w:rsidRoot w:val="7102057C"/>
    <w:rsid w:val="15B92B29"/>
    <w:rsid w:val="4ED73333"/>
    <w:rsid w:val="71020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TotalTime>
  <ScaleCrop>false</ScaleCrop>
  <LinksUpToDate>false</LinksUpToDate>
  <CharactersWithSpaces>0</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2024-09-03T15:08:00Z</dcterms:created>
  <dc:creator>命运</dc:creator>
  <cp:lastModifiedBy>kylin</cp:lastModifiedBy>
  <dcterms:modified xsi:type="dcterms:W3CDTF">2024-09-03T15:26:34Z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CDE5E000E37FD67C2ABAD66699F2C082</vt:lpwstr>
  </property>
</Properties>
</file>