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left="0" w:leftChars="0" w:right="0" w:rightChars="0"/>
        <w:jc w:val="center"/>
        <w:rPr>
          <w:b/>
          <w:kern w:val="0"/>
          <w:sz w:val="72"/>
          <w:szCs w:val="72"/>
          <w:lang w:bidi="ar"/>
        </w:rPr>
      </w:pPr>
      <w:bookmarkStart w:id="0" w:name="_Toc77608248"/>
      <w:bookmarkStart w:id="1" w:name="_Toc25230"/>
      <w:bookmarkStart w:id="2" w:name="_Toc10694"/>
    </w:p>
    <w:p>
      <w:pPr>
        <w:widowControl/>
        <w:spacing w:line="360" w:lineRule="auto"/>
        <w:ind w:left="0" w:leftChars="0" w:right="0" w:rightChars="0"/>
        <w:jc w:val="center"/>
        <w:rPr>
          <w:rFonts w:ascii="方正小标宋_GBK" w:eastAsia="方正小标宋_GBK"/>
          <w:bCs/>
          <w:kern w:val="0"/>
          <w:sz w:val="52"/>
          <w:szCs w:val="52"/>
          <w:u w:color="000000"/>
        </w:rPr>
      </w:pPr>
      <w:r>
        <w:rPr>
          <w:rFonts w:hint="eastAsia" w:ascii="方正小标宋_GBK" w:eastAsia="方正小标宋_GBK"/>
          <w:bCs/>
          <w:kern w:val="0"/>
          <w:sz w:val="52"/>
          <w:szCs w:val="52"/>
          <w:u w:color="000000"/>
        </w:rPr>
        <w:t>呼 伦 贝 尔 市 生 态 环 境 准 入 清 单</w:t>
      </w: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pStyle w:val="2"/>
        <w:rPr>
          <w:rFonts w:ascii="方正小标宋_GBK" w:eastAsia="方正小标宋_GBK"/>
          <w:lang w:bidi="ar"/>
        </w:rPr>
      </w:pPr>
    </w:p>
    <w:p>
      <w:pPr>
        <w:spacing w:line="360" w:lineRule="auto"/>
        <w:jc w:val="center"/>
        <w:rPr>
          <w:rFonts w:ascii="方正小标宋_GBK" w:eastAsia="方正小标宋_GBK"/>
          <w:sz w:val="34"/>
          <w:szCs w:val="34"/>
        </w:rPr>
      </w:pPr>
      <w:r>
        <w:rPr>
          <w:rFonts w:hint="eastAsia" w:ascii="方正小标宋_GBK" w:eastAsia="方正小标宋_GBK"/>
          <w:sz w:val="34"/>
          <w:szCs w:val="34"/>
        </w:rPr>
        <w:t>呼伦贝尔市生态环境局</w:t>
      </w:r>
    </w:p>
    <w:p>
      <w:pPr>
        <w:spacing w:line="360" w:lineRule="auto"/>
        <w:jc w:val="center"/>
        <w:rPr>
          <w:rFonts w:eastAsia="楷体"/>
          <w:b/>
          <w:bCs/>
          <w:sz w:val="34"/>
          <w:szCs w:val="34"/>
        </w:rPr>
      </w:pPr>
      <w:r>
        <w:rPr>
          <w:rFonts w:eastAsia="方正小标宋_GBK"/>
          <w:sz w:val="34"/>
          <w:szCs w:val="34"/>
        </w:rPr>
        <w:t>2023年12月</w:t>
      </w:r>
    </w:p>
    <w:p>
      <w:pPr>
        <w:adjustRightInd/>
        <w:snapToGrid/>
        <w:spacing w:before="156" w:beforeLines="50" w:after="156" w:afterLines="50" w:line="360" w:lineRule="auto"/>
        <w:ind w:left="0" w:leftChars="0" w:right="0" w:rightChars="0"/>
        <w:jc w:val="center"/>
        <w:rPr>
          <w:b/>
          <w:kern w:val="0"/>
          <w:sz w:val="44"/>
          <w:szCs w:val="44"/>
          <w:lang w:bidi="ar"/>
        </w:rPr>
        <w:sectPr>
          <w:footerReference r:id="rId5" w:type="default"/>
          <w:pgSz w:w="16838" w:h="11906" w:orient="landscape"/>
          <w:pgMar w:top="1800" w:right="1440" w:bottom="1800" w:left="1440" w:header="851" w:footer="992" w:gutter="0"/>
          <w:pgNumType w:start="1"/>
          <w:cols w:space="720" w:num="1"/>
          <w:docGrid w:type="lines" w:linePitch="312" w:charSpace="0"/>
        </w:sectPr>
      </w:pPr>
    </w:p>
    <w:p>
      <w:pPr>
        <w:pStyle w:val="24"/>
        <w:jc w:val="center"/>
        <w:rPr>
          <w:rFonts w:ascii="Times New Roman" w:hAnsi="Times New Roman" w:eastAsia="仿宋_GB2312"/>
          <w:b/>
          <w:color w:val="auto"/>
          <w:sz w:val="36"/>
          <w:szCs w:val="36"/>
        </w:rPr>
      </w:pPr>
      <w:r>
        <w:rPr>
          <w:rFonts w:ascii="Times New Roman" w:hAnsi="Times New Roman" w:eastAsia="仿宋_GB2312"/>
          <w:b/>
          <w:color w:val="auto"/>
          <w:sz w:val="36"/>
          <w:szCs w:val="36"/>
          <w:lang w:val="zh-CN"/>
        </w:rPr>
        <w:t>目  录</w:t>
      </w:r>
    </w:p>
    <w:p>
      <w:pPr>
        <w:pStyle w:val="9"/>
        <w:tabs>
          <w:tab w:val="right" w:leader="dot" w:pos="13948"/>
        </w:tabs>
        <w:spacing w:line="360" w:lineRule="auto"/>
        <w:rPr>
          <w:rFonts w:asciiTheme="minorHAnsi" w:hAnsiTheme="minorHAnsi" w:eastAsiaTheme="minorEastAsia" w:cstheme="minorBidi"/>
          <w:sz w:val="28"/>
          <w:szCs w:val="28"/>
        </w:rPr>
      </w:pPr>
      <w:r>
        <w:rPr>
          <w:rStyle w:val="18"/>
          <w:rFonts w:eastAsia="仿宋"/>
          <w:color w:val="auto"/>
          <w:sz w:val="28"/>
          <w:szCs w:val="28"/>
        </w:rPr>
        <w:fldChar w:fldCharType="begin"/>
      </w:r>
      <w:r>
        <w:rPr>
          <w:rStyle w:val="18"/>
          <w:rFonts w:eastAsia="仿宋"/>
          <w:color w:val="auto"/>
          <w:sz w:val="28"/>
          <w:szCs w:val="28"/>
        </w:rPr>
        <w:instrText xml:space="preserve"> TOC \o "1-3" \h \z \u </w:instrText>
      </w:r>
      <w:r>
        <w:rPr>
          <w:rStyle w:val="18"/>
          <w:rFonts w:eastAsia="仿宋"/>
          <w:color w:val="auto"/>
          <w:sz w:val="28"/>
          <w:szCs w:val="28"/>
        </w:rPr>
        <w:fldChar w:fldCharType="separate"/>
      </w:r>
      <w:r>
        <w:fldChar w:fldCharType="begin"/>
      </w:r>
      <w:r>
        <w:instrText xml:space="preserve"> HYPERLINK \l "_Toc142233271" </w:instrText>
      </w:r>
      <w:r>
        <w:fldChar w:fldCharType="separate"/>
      </w:r>
      <w:r>
        <w:rPr>
          <w:rStyle w:val="18"/>
          <w:rFonts w:hint="eastAsia"/>
          <w:b/>
          <w:color w:val="auto"/>
          <w:sz w:val="28"/>
          <w:szCs w:val="28"/>
        </w:rPr>
        <w:t>一、呼伦贝尔市总体准入要求</w:t>
      </w:r>
      <w:r>
        <w:rPr>
          <w:b/>
          <w:sz w:val="28"/>
          <w:szCs w:val="28"/>
        </w:rPr>
        <w:tab/>
      </w:r>
      <w:r>
        <w:rPr>
          <w:b/>
          <w:sz w:val="28"/>
          <w:szCs w:val="28"/>
        </w:rPr>
        <w:fldChar w:fldCharType="begin"/>
      </w:r>
      <w:r>
        <w:rPr>
          <w:b/>
          <w:sz w:val="28"/>
          <w:szCs w:val="28"/>
        </w:rPr>
        <w:instrText xml:space="preserve"> PAGEREF _Toc142233271 \h </w:instrText>
      </w:r>
      <w:r>
        <w:rPr>
          <w:b/>
          <w:sz w:val="28"/>
          <w:szCs w:val="28"/>
        </w:rPr>
        <w:fldChar w:fldCharType="separate"/>
      </w:r>
      <w:r>
        <w:rPr>
          <w:b/>
          <w:sz w:val="28"/>
          <w:szCs w:val="28"/>
        </w:rPr>
        <w:t>1</w:t>
      </w:r>
      <w:r>
        <w:rPr>
          <w:b/>
          <w:sz w:val="28"/>
          <w:szCs w:val="28"/>
        </w:rPr>
        <w:fldChar w:fldCharType="end"/>
      </w:r>
      <w:r>
        <w:rPr>
          <w:b/>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"_Toc142233272" </w:instrText>
      </w:r>
      <w:r>
        <w:fldChar w:fldCharType="separate"/>
      </w:r>
      <w:r>
        <w:rPr>
          <w:rStyle w:val="18"/>
          <w:rFonts w:hint="eastAsia"/>
          <w:bCs/>
          <w:color w:val="auto"/>
          <w:sz w:val="28"/>
          <w:szCs w:val="28"/>
        </w:rPr>
        <w:t>第一条关于空间布局约束的准入要求</w:t>
      </w:r>
      <w:r>
        <w:rPr>
          <w:sz w:val="28"/>
          <w:szCs w:val="28"/>
        </w:rPr>
        <w:tab/>
      </w:r>
      <w:r>
        <w:rPr>
          <w:sz w:val="28"/>
          <w:szCs w:val="28"/>
        </w:rPr>
        <w:fldChar w:fldCharType="begin"/>
      </w:r>
      <w:r>
        <w:rPr>
          <w:sz w:val="28"/>
          <w:szCs w:val="28"/>
        </w:rPr>
        <w:instrText xml:space="preserve"> PAGEREF _Toc142233272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"_Toc142233273" </w:instrText>
      </w:r>
      <w:r>
        <w:fldChar w:fldCharType="separate"/>
      </w:r>
      <w:r>
        <w:rPr>
          <w:rStyle w:val="18"/>
          <w:rFonts w:hint="eastAsia"/>
          <w:bCs/>
          <w:color w:val="auto"/>
          <w:sz w:val="28"/>
          <w:szCs w:val="28"/>
        </w:rPr>
        <w:t>第二条关于污染物排放管控的准入要求</w:t>
      </w:r>
      <w:r>
        <w:rPr>
          <w:sz w:val="28"/>
          <w:szCs w:val="28"/>
        </w:rPr>
        <w:tab/>
      </w:r>
      <w:r>
        <w:rPr>
          <w:sz w:val="28"/>
          <w:szCs w:val="28"/>
        </w:rPr>
        <w:fldChar w:fldCharType="begin"/>
      </w:r>
      <w:r>
        <w:rPr>
          <w:sz w:val="28"/>
          <w:szCs w:val="28"/>
        </w:rPr>
        <w:instrText xml:space="preserve"> PAGEREF _Toc142233273 \h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"_Toc142233274" </w:instrText>
      </w:r>
      <w:r>
        <w:fldChar w:fldCharType="separate"/>
      </w:r>
      <w:r>
        <w:rPr>
          <w:rStyle w:val="18"/>
          <w:rFonts w:hint="eastAsia"/>
          <w:bCs/>
          <w:color w:val="auto"/>
          <w:sz w:val="28"/>
          <w:szCs w:val="28"/>
        </w:rPr>
        <w:t>第三条关于环境风险防控的准入要求</w:t>
      </w:r>
      <w:r>
        <w:rPr>
          <w:sz w:val="28"/>
          <w:szCs w:val="28"/>
        </w:rPr>
        <w:tab/>
      </w:r>
      <w:r>
        <w:rPr>
          <w:sz w:val="28"/>
          <w:szCs w:val="28"/>
        </w:rPr>
        <w:fldChar w:fldCharType="begin"/>
      </w:r>
      <w:r>
        <w:rPr>
          <w:sz w:val="28"/>
          <w:szCs w:val="28"/>
        </w:rPr>
        <w:instrText xml:space="preserve"> PAGEREF _Toc142233274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"_Toc142233275" </w:instrText>
      </w:r>
      <w:r>
        <w:fldChar w:fldCharType="separate"/>
      </w:r>
      <w:r>
        <w:rPr>
          <w:rStyle w:val="18"/>
          <w:rFonts w:hint="eastAsia"/>
          <w:bCs/>
          <w:color w:val="auto"/>
          <w:sz w:val="28"/>
          <w:szCs w:val="28"/>
        </w:rPr>
        <w:t>第四条关于资源开发效率的准入要求</w:t>
      </w:r>
      <w:r>
        <w:rPr>
          <w:sz w:val="28"/>
          <w:szCs w:val="28"/>
        </w:rPr>
        <w:tab/>
      </w:r>
      <w:r>
        <w:rPr>
          <w:sz w:val="28"/>
          <w:szCs w:val="28"/>
        </w:rPr>
        <w:fldChar w:fldCharType="begin"/>
      </w:r>
      <w:r>
        <w:rPr>
          <w:sz w:val="28"/>
          <w:szCs w:val="28"/>
        </w:rPr>
        <w:instrText xml:space="preserve"> PAGEREF _Toc142233275 \h </w:instrText>
      </w:r>
      <w:r>
        <w:rPr>
          <w:sz w:val="28"/>
          <w:szCs w:val="28"/>
        </w:rPr>
        <w:fldChar w:fldCharType="separate"/>
      </w:r>
      <w:r>
        <w:rPr>
          <w:sz w:val="28"/>
          <w:szCs w:val="28"/>
        </w:rPr>
        <w:t>4</w:t>
      </w:r>
      <w:r>
        <w:rPr>
          <w:sz w:val="28"/>
          <w:szCs w:val="28"/>
        </w:rPr>
        <w:fldChar w:fldCharType="end"/>
      </w:r>
      <w:r>
        <w:rPr>
          <w:sz w:val="28"/>
          <w:szCs w:val="28"/>
        </w:rPr>
        <w:fldChar w:fldCharType="end"/>
      </w:r>
    </w:p>
    <w:p>
      <w:pPr>
        <w:pStyle w:val="9"/>
        <w:tabs>
          <w:tab w:val="right" w:leader="dot" w:pos="13948"/>
        </w:tabs>
        <w:spacing w:line="360" w:lineRule="auto"/>
        <w:rPr>
          <w:rFonts w:asciiTheme="minorHAnsi" w:hAnsiTheme="minorHAnsi" w:eastAsiaTheme="minorEastAsia" w:cstheme="minorBidi"/>
          <w:b/>
          <w:sz w:val="28"/>
          <w:szCs w:val="28"/>
        </w:rPr>
      </w:pPr>
      <w:r>
        <w:fldChar w:fldCharType="begin"/>
      </w:r>
      <w:r>
        <w:instrText xml:space="preserve"> HYPERLINK \l "_Toc142233276" </w:instrText>
      </w:r>
      <w:r>
        <w:fldChar w:fldCharType="separate"/>
      </w:r>
      <w:r>
        <w:rPr>
          <w:rStyle w:val="18"/>
          <w:rFonts w:hint="eastAsia"/>
          <w:b/>
          <w:color w:val="auto"/>
          <w:sz w:val="28"/>
          <w:szCs w:val="28"/>
        </w:rPr>
        <w:t>二、各旗（县、区）管控单元准入要求</w:t>
      </w:r>
      <w:r>
        <w:rPr>
          <w:b/>
          <w:sz w:val="28"/>
          <w:szCs w:val="28"/>
        </w:rPr>
        <w:tab/>
      </w:r>
      <w:r>
        <w:rPr>
          <w:b/>
          <w:sz w:val="28"/>
          <w:szCs w:val="28"/>
        </w:rPr>
        <w:fldChar w:fldCharType="begin"/>
      </w:r>
      <w:r>
        <w:rPr>
          <w:b/>
          <w:sz w:val="28"/>
          <w:szCs w:val="28"/>
        </w:rPr>
        <w:instrText xml:space="preserve"> PAGEREF _Toc142233276 \h </w:instrText>
      </w:r>
      <w:r>
        <w:rPr>
          <w:b/>
          <w:sz w:val="28"/>
          <w:szCs w:val="28"/>
        </w:rPr>
        <w:fldChar w:fldCharType="separate"/>
      </w:r>
      <w:r>
        <w:rPr>
          <w:b/>
          <w:sz w:val="28"/>
          <w:szCs w:val="28"/>
        </w:rPr>
        <w:t>6</w:t>
      </w:r>
      <w:r>
        <w:rPr>
          <w:b/>
          <w:sz w:val="28"/>
          <w:szCs w:val="28"/>
        </w:rPr>
        <w:fldChar w:fldCharType="end"/>
      </w:r>
      <w:r>
        <w:rPr>
          <w:b/>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"_Toc142233277" </w:instrText>
      </w:r>
      <w:r>
        <w:fldChar w:fldCharType="separate"/>
      </w:r>
      <w:r>
        <w:rPr>
          <w:rStyle w:val="18"/>
          <w:rFonts w:hint="eastAsia"/>
          <w:color w:val="auto"/>
          <w:sz w:val="28"/>
          <w:szCs w:val="28"/>
        </w:rPr>
        <w:t>（一）呼伦贝尔市海拉尔区生态环境准入清单</w:t>
      </w:r>
      <w:r>
        <w:rPr>
          <w:sz w:val="28"/>
          <w:szCs w:val="28"/>
        </w:rPr>
        <w:tab/>
      </w:r>
      <w:r>
        <w:rPr>
          <w:sz w:val="28"/>
          <w:szCs w:val="28"/>
        </w:rPr>
        <w:fldChar w:fldCharType="begin"/>
      </w:r>
      <w:r>
        <w:rPr>
          <w:sz w:val="28"/>
          <w:szCs w:val="28"/>
        </w:rPr>
        <w:instrText xml:space="preserve"> PAGEREF _Toc142233277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"_Toc142233278" </w:instrText>
      </w:r>
      <w:r>
        <w:fldChar w:fldCharType="separate"/>
      </w:r>
      <w:r>
        <w:rPr>
          <w:rStyle w:val="18"/>
          <w:rFonts w:hint="eastAsia"/>
          <w:color w:val="auto"/>
          <w:sz w:val="28"/>
          <w:szCs w:val="28"/>
        </w:rPr>
        <w:t>（二）呼伦贝尔市满洲里市生态环境准入清单</w:t>
      </w:r>
      <w:r>
        <w:rPr>
          <w:sz w:val="28"/>
          <w:szCs w:val="28"/>
        </w:rPr>
        <w:tab/>
      </w:r>
      <w:r>
        <w:rPr>
          <w:sz w:val="28"/>
          <w:szCs w:val="28"/>
        </w:rPr>
        <w:fldChar w:fldCharType="begin"/>
      </w:r>
      <w:r>
        <w:rPr>
          <w:sz w:val="28"/>
          <w:szCs w:val="28"/>
        </w:rPr>
        <w:instrText xml:space="preserve"> PAGEREF _Toc142233278 \h </w:instrText>
      </w:r>
      <w:r>
        <w:rPr>
          <w:sz w:val="28"/>
          <w:szCs w:val="28"/>
        </w:rPr>
        <w:fldChar w:fldCharType="separate"/>
      </w:r>
      <w:r>
        <w:rPr>
          <w:sz w:val="28"/>
          <w:szCs w:val="28"/>
        </w:rPr>
        <w:t>15</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"_Toc142233279" </w:instrText>
      </w:r>
      <w:r>
        <w:fldChar w:fldCharType="separate"/>
      </w:r>
      <w:r>
        <w:rPr>
          <w:rStyle w:val="18"/>
          <w:rFonts w:hint="eastAsia"/>
          <w:color w:val="auto"/>
          <w:sz w:val="28"/>
          <w:szCs w:val="28"/>
        </w:rPr>
        <w:t>（三）呼伦贝尔市牙克石市生态环境准入清单</w:t>
      </w:r>
      <w:r>
        <w:rPr>
          <w:sz w:val="28"/>
          <w:szCs w:val="28"/>
        </w:rPr>
        <w:tab/>
      </w:r>
      <w:r>
        <w:rPr>
          <w:sz w:val="28"/>
          <w:szCs w:val="28"/>
        </w:rPr>
        <w:fldChar w:fldCharType="begin"/>
      </w:r>
      <w:r>
        <w:rPr>
          <w:sz w:val="28"/>
          <w:szCs w:val="28"/>
        </w:rPr>
        <w:instrText xml:space="preserve"> PAGEREF _Toc142233279 \h </w:instrText>
      </w:r>
      <w:r>
        <w:rPr>
          <w:sz w:val="28"/>
          <w:szCs w:val="28"/>
        </w:rPr>
        <w:fldChar w:fldCharType="separate"/>
      </w:r>
      <w:r>
        <w:rPr>
          <w:sz w:val="28"/>
          <w:szCs w:val="28"/>
        </w:rPr>
        <w:t>26</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"_Toc142233280" </w:instrText>
      </w:r>
      <w:r>
        <w:fldChar w:fldCharType="separate"/>
      </w:r>
      <w:r>
        <w:rPr>
          <w:rStyle w:val="18"/>
          <w:rFonts w:hint="eastAsia"/>
          <w:color w:val="auto"/>
          <w:sz w:val="28"/>
          <w:szCs w:val="28"/>
        </w:rPr>
        <w:t>（四）呼伦贝尔市扎兰屯市生态环境准入清单</w:t>
      </w:r>
      <w:r>
        <w:rPr>
          <w:sz w:val="28"/>
          <w:szCs w:val="28"/>
        </w:rPr>
        <w:tab/>
      </w:r>
      <w:r>
        <w:rPr>
          <w:sz w:val="28"/>
          <w:szCs w:val="28"/>
        </w:rPr>
        <w:fldChar w:fldCharType="begin"/>
      </w:r>
      <w:r>
        <w:rPr>
          <w:sz w:val="28"/>
          <w:szCs w:val="28"/>
        </w:rPr>
        <w:instrText xml:space="preserve"> PAGEREF _Toc142233280 \h </w:instrText>
      </w:r>
      <w:r>
        <w:rPr>
          <w:sz w:val="28"/>
          <w:szCs w:val="28"/>
        </w:rPr>
        <w:fldChar w:fldCharType="separate"/>
      </w:r>
      <w:r>
        <w:rPr>
          <w:sz w:val="28"/>
          <w:szCs w:val="28"/>
        </w:rPr>
        <w:t>51</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"_Toc142233281" </w:instrText>
      </w:r>
      <w:r>
        <w:fldChar w:fldCharType="separate"/>
      </w:r>
      <w:r>
        <w:rPr>
          <w:rStyle w:val="18"/>
          <w:rFonts w:hint="eastAsia"/>
          <w:color w:val="auto"/>
          <w:sz w:val="28"/>
          <w:szCs w:val="28"/>
        </w:rPr>
        <w:t>（五）呼伦贝尔市额尔古纳市生态环境准入清单</w:t>
      </w:r>
      <w:r>
        <w:rPr>
          <w:sz w:val="28"/>
          <w:szCs w:val="28"/>
        </w:rPr>
        <w:tab/>
      </w:r>
      <w:r>
        <w:rPr>
          <w:sz w:val="28"/>
          <w:szCs w:val="28"/>
        </w:rPr>
        <w:fldChar w:fldCharType="begin"/>
      </w:r>
      <w:r>
        <w:rPr>
          <w:sz w:val="28"/>
          <w:szCs w:val="28"/>
        </w:rPr>
        <w:instrText xml:space="preserve"> PAGEREF _Toc142233281 \h </w:instrText>
      </w:r>
      <w:r>
        <w:rPr>
          <w:sz w:val="28"/>
          <w:szCs w:val="28"/>
        </w:rPr>
        <w:fldChar w:fldCharType="separate"/>
      </w:r>
      <w:r>
        <w:rPr>
          <w:sz w:val="28"/>
          <w:szCs w:val="28"/>
        </w:rPr>
        <w:t>65</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"_Toc142233282" </w:instrText>
      </w:r>
      <w:r>
        <w:fldChar w:fldCharType="separate"/>
      </w:r>
      <w:r>
        <w:rPr>
          <w:rStyle w:val="18"/>
          <w:rFonts w:hint="eastAsia"/>
          <w:color w:val="auto"/>
          <w:sz w:val="28"/>
          <w:szCs w:val="28"/>
        </w:rPr>
        <w:t>（六）呼伦贝尔市</w:t>
      </w:r>
      <w:r>
        <w:rPr>
          <w:rStyle w:val="18"/>
          <w:rFonts w:hint="eastAsia"/>
          <w:bCs/>
          <w:color w:val="auto"/>
          <w:sz w:val="28"/>
          <w:szCs w:val="28"/>
        </w:rPr>
        <w:t>根河市</w:t>
      </w:r>
      <w:r>
        <w:rPr>
          <w:rStyle w:val="18"/>
          <w:rFonts w:hint="eastAsia"/>
          <w:color w:val="auto"/>
          <w:sz w:val="28"/>
          <w:szCs w:val="28"/>
        </w:rPr>
        <w:t>生态环境准入清单</w:t>
      </w:r>
      <w:r>
        <w:rPr>
          <w:sz w:val="28"/>
          <w:szCs w:val="28"/>
        </w:rPr>
        <w:tab/>
      </w:r>
      <w:r>
        <w:rPr>
          <w:sz w:val="28"/>
          <w:szCs w:val="28"/>
        </w:rPr>
        <w:fldChar w:fldCharType="begin"/>
      </w:r>
      <w:r>
        <w:rPr>
          <w:sz w:val="28"/>
          <w:szCs w:val="28"/>
        </w:rPr>
        <w:instrText xml:space="preserve"> PAGEREF _Toc142233282 \h </w:instrText>
      </w:r>
      <w:r>
        <w:rPr>
          <w:sz w:val="28"/>
          <w:szCs w:val="28"/>
        </w:rPr>
        <w:fldChar w:fldCharType="separate"/>
      </w:r>
      <w:r>
        <w:rPr>
          <w:sz w:val="28"/>
          <w:szCs w:val="28"/>
        </w:rPr>
        <w:t>79</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"_Toc142233283" </w:instrText>
      </w:r>
      <w:r>
        <w:fldChar w:fldCharType="separate"/>
      </w:r>
      <w:r>
        <w:rPr>
          <w:rStyle w:val="18"/>
          <w:rFonts w:hint="eastAsia"/>
          <w:color w:val="auto"/>
          <w:sz w:val="28"/>
          <w:szCs w:val="28"/>
        </w:rPr>
        <w:t>（七）呼伦贝尔市阿荣旗生态环境准入清单</w:t>
      </w:r>
      <w:r>
        <w:rPr>
          <w:sz w:val="28"/>
          <w:szCs w:val="28"/>
        </w:rPr>
        <w:tab/>
      </w:r>
      <w:r>
        <w:rPr>
          <w:sz w:val="28"/>
          <w:szCs w:val="28"/>
        </w:rPr>
        <w:fldChar w:fldCharType="begin"/>
      </w:r>
      <w:r>
        <w:rPr>
          <w:sz w:val="28"/>
          <w:szCs w:val="28"/>
        </w:rPr>
        <w:instrText xml:space="preserve"> PAGEREF _Toc142233283 \h </w:instrText>
      </w:r>
      <w:r>
        <w:rPr>
          <w:sz w:val="28"/>
          <w:szCs w:val="28"/>
        </w:rPr>
        <w:fldChar w:fldCharType="separate"/>
      </w:r>
      <w:r>
        <w:rPr>
          <w:sz w:val="28"/>
          <w:szCs w:val="28"/>
        </w:rPr>
        <w:t>92</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"_Toc142233284" </w:instrText>
      </w:r>
      <w:r>
        <w:fldChar w:fldCharType="separate"/>
      </w:r>
      <w:r>
        <w:rPr>
          <w:rStyle w:val="18"/>
          <w:rFonts w:hint="eastAsia"/>
          <w:color w:val="auto"/>
          <w:sz w:val="28"/>
          <w:szCs w:val="28"/>
        </w:rPr>
        <w:t>（八）呼伦贝尔市莫力达瓦达斡尔族自治旗生态环境准入清单</w:t>
      </w:r>
      <w:r>
        <w:rPr>
          <w:sz w:val="28"/>
          <w:szCs w:val="28"/>
        </w:rPr>
        <w:tab/>
      </w:r>
      <w:r>
        <w:rPr>
          <w:sz w:val="28"/>
          <w:szCs w:val="28"/>
        </w:rPr>
        <w:fldChar w:fldCharType="begin"/>
      </w:r>
      <w:r>
        <w:rPr>
          <w:sz w:val="28"/>
          <w:szCs w:val="28"/>
        </w:rPr>
        <w:instrText xml:space="preserve"> PAGEREF _Toc142233284 \h </w:instrText>
      </w:r>
      <w:r>
        <w:rPr>
          <w:sz w:val="28"/>
          <w:szCs w:val="28"/>
        </w:rPr>
        <w:fldChar w:fldCharType="separate"/>
      </w:r>
      <w:r>
        <w:rPr>
          <w:sz w:val="28"/>
          <w:szCs w:val="28"/>
        </w:rPr>
        <w:t>99</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"_Toc142233285" </w:instrText>
      </w:r>
      <w:r>
        <w:fldChar w:fldCharType="separate"/>
      </w:r>
      <w:r>
        <w:rPr>
          <w:rStyle w:val="18"/>
          <w:rFonts w:hint="eastAsia"/>
          <w:color w:val="auto"/>
          <w:sz w:val="28"/>
          <w:szCs w:val="28"/>
        </w:rPr>
        <w:t>（九）呼伦贝尔市鄂伦春自治旗生态环境准入清单</w:t>
      </w:r>
      <w:r>
        <w:rPr>
          <w:sz w:val="28"/>
          <w:szCs w:val="28"/>
        </w:rPr>
        <w:tab/>
      </w:r>
      <w:r>
        <w:rPr>
          <w:sz w:val="28"/>
          <w:szCs w:val="28"/>
        </w:rPr>
        <w:fldChar w:fldCharType="begin"/>
      </w:r>
      <w:r>
        <w:rPr>
          <w:sz w:val="28"/>
          <w:szCs w:val="28"/>
        </w:rPr>
        <w:instrText xml:space="preserve"> PAGEREF _Toc142233285 \h </w:instrText>
      </w:r>
      <w:r>
        <w:rPr>
          <w:sz w:val="28"/>
          <w:szCs w:val="28"/>
        </w:rPr>
        <w:fldChar w:fldCharType="separate"/>
      </w:r>
      <w:r>
        <w:rPr>
          <w:sz w:val="28"/>
          <w:szCs w:val="28"/>
        </w:rPr>
        <w:t>106</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"_Toc142233286" </w:instrText>
      </w:r>
      <w:r>
        <w:fldChar w:fldCharType="separate"/>
      </w:r>
      <w:r>
        <w:rPr>
          <w:rStyle w:val="18"/>
          <w:rFonts w:hint="eastAsia"/>
          <w:color w:val="auto"/>
          <w:sz w:val="28"/>
          <w:szCs w:val="28"/>
        </w:rPr>
        <w:t>（十）呼伦贝尔市鄂温克族自治旗生态环境准入清单</w:t>
      </w:r>
      <w:r>
        <w:rPr>
          <w:sz w:val="28"/>
          <w:szCs w:val="28"/>
        </w:rPr>
        <w:tab/>
      </w:r>
      <w:r>
        <w:rPr>
          <w:sz w:val="28"/>
          <w:szCs w:val="28"/>
        </w:rPr>
        <w:fldChar w:fldCharType="begin"/>
      </w:r>
      <w:r>
        <w:rPr>
          <w:sz w:val="28"/>
          <w:szCs w:val="28"/>
        </w:rPr>
        <w:instrText xml:space="preserve"> PAGEREF _Toc142233286 \h </w:instrText>
      </w:r>
      <w:r>
        <w:rPr>
          <w:sz w:val="28"/>
          <w:szCs w:val="28"/>
        </w:rPr>
        <w:fldChar w:fldCharType="separate"/>
      </w:r>
      <w:r>
        <w:rPr>
          <w:sz w:val="28"/>
          <w:szCs w:val="28"/>
        </w:rPr>
        <w:t>120</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"_Toc142233287" </w:instrText>
      </w:r>
      <w:r>
        <w:fldChar w:fldCharType="separate"/>
      </w:r>
      <w:r>
        <w:rPr>
          <w:rStyle w:val="18"/>
          <w:rFonts w:hint="eastAsia"/>
          <w:color w:val="auto"/>
          <w:sz w:val="28"/>
          <w:szCs w:val="28"/>
        </w:rPr>
        <w:t>（十一）呼伦贝尔市陈巴尔虎旗生态环境准入清单</w:t>
      </w:r>
      <w:r>
        <w:rPr>
          <w:sz w:val="28"/>
          <w:szCs w:val="28"/>
        </w:rPr>
        <w:tab/>
      </w:r>
      <w:r>
        <w:rPr>
          <w:sz w:val="28"/>
          <w:szCs w:val="28"/>
        </w:rPr>
        <w:fldChar w:fldCharType="begin"/>
      </w:r>
      <w:r>
        <w:rPr>
          <w:sz w:val="28"/>
          <w:szCs w:val="28"/>
        </w:rPr>
        <w:instrText xml:space="preserve"> PAGEREF _Toc142233287 \h </w:instrText>
      </w:r>
      <w:r>
        <w:rPr>
          <w:sz w:val="28"/>
          <w:szCs w:val="28"/>
        </w:rPr>
        <w:fldChar w:fldCharType="separate"/>
      </w:r>
      <w:r>
        <w:rPr>
          <w:sz w:val="28"/>
          <w:szCs w:val="28"/>
        </w:rPr>
        <w:t>140</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"_Toc142233288" </w:instrText>
      </w:r>
      <w:r>
        <w:fldChar w:fldCharType="separate"/>
      </w:r>
      <w:r>
        <w:rPr>
          <w:rStyle w:val="18"/>
          <w:rFonts w:hint="eastAsia"/>
          <w:color w:val="auto"/>
          <w:sz w:val="28"/>
          <w:szCs w:val="28"/>
        </w:rPr>
        <w:t>（十二）呼伦贝尔市新巴尔虎左旗生态环境准入清单</w:t>
      </w:r>
      <w:r>
        <w:rPr>
          <w:sz w:val="28"/>
          <w:szCs w:val="28"/>
        </w:rPr>
        <w:tab/>
      </w:r>
      <w:r>
        <w:rPr>
          <w:sz w:val="28"/>
          <w:szCs w:val="28"/>
        </w:rPr>
        <w:fldChar w:fldCharType="begin"/>
      </w:r>
      <w:r>
        <w:rPr>
          <w:sz w:val="28"/>
          <w:szCs w:val="28"/>
        </w:rPr>
        <w:instrText xml:space="preserve"> PAGEREF _Toc142233288 \h </w:instrText>
      </w:r>
      <w:r>
        <w:rPr>
          <w:sz w:val="28"/>
          <w:szCs w:val="28"/>
        </w:rPr>
        <w:fldChar w:fldCharType="separate"/>
      </w:r>
      <w:r>
        <w:rPr>
          <w:sz w:val="28"/>
          <w:szCs w:val="28"/>
        </w:rPr>
        <w:t>154</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"_Toc142233289" </w:instrText>
      </w:r>
      <w:r>
        <w:fldChar w:fldCharType="separate"/>
      </w:r>
      <w:r>
        <w:rPr>
          <w:rStyle w:val="18"/>
          <w:rFonts w:hint="eastAsia"/>
          <w:color w:val="auto"/>
          <w:sz w:val="28"/>
          <w:szCs w:val="28"/>
        </w:rPr>
        <w:t>（十三）呼伦贝尔市新巴尔虎右旗生态环境准入清单</w:t>
      </w:r>
      <w:r>
        <w:rPr>
          <w:sz w:val="28"/>
          <w:szCs w:val="28"/>
        </w:rPr>
        <w:tab/>
      </w:r>
      <w:r>
        <w:rPr>
          <w:sz w:val="28"/>
          <w:szCs w:val="28"/>
        </w:rPr>
        <w:fldChar w:fldCharType="begin"/>
      </w:r>
      <w:r>
        <w:rPr>
          <w:sz w:val="28"/>
          <w:szCs w:val="28"/>
        </w:rPr>
        <w:instrText xml:space="preserve"> PAGEREF _Toc142233289 \h </w:instrText>
      </w:r>
      <w:r>
        <w:rPr>
          <w:sz w:val="28"/>
          <w:szCs w:val="28"/>
        </w:rPr>
        <w:fldChar w:fldCharType="separate"/>
      </w:r>
      <w:r>
        <w:rPr>
          <w:sz w:val="28"/>
          <w:szCs w:val="28"/>
        </w:rPr>
        <w:t>170</w:t>
      </w:r>
      <w:r>
        <w:rPr>
          <w:sz w:val="28"/>
          <w:szCs w:val="28"/>
        </w:rPr>
        <w:fldChar w:fldCharType="end"/>
      </w:r>
      <w:r>
        <w:rPr>
          <w:sz w:val="28"/>
          <w:szCs w:val="28"/>
        </w:rPr>
        <w:fldChar w:fldCharType="end"/>
      </w:r>
    </w:p>
    <w:p>
      <w:pPr>
        <w:pStyle w:val="10"/>
        <w:tabs>
          <w:tab w:val="right" w:leader="dot" w:pos="13948"/>
        </w:tabs>
        <w:spacing w:line="360" w:lineRule="auto"/>
        <w:rPr>
          <w:rFonts w:asciiTheme="minorHAnsi" w:hAnsiTheme="minorHAnsi" w:eastAsiaTheme="minorEastAsia" w:cstheme="minorBidi"/>
          <w:sz w:val="28"/>
          <w:szCs w:val="28"/>
        </w:rPr>
      </w:pPr>
      <w:r>
        <w:fldChar w:fldCharType="begin"/>
      </w:r>
      <w:r>
        <w:instrText xml:space="preserve"> HYPERLINK \l "_Toc142233290" </w:instrText>
      </w:r>
      <w:r>
        <w:fldChar w:fldCharType="separate"/>
      </w:r>
      <w:r>
        <w:rPr>
          <w:rStyle w:val="18"/>
          <w:rFonts w:hint="eastAsia"/>
          <w:color w:val="auto"/>
          <w:sz w:val="28"/>
          <w:szCs w:val="28"/>
        </w:rPr>
        <w:t>（十四）呼伦贝尔市扎赉诺尔区生态环境准入清单</w:t>
      </w:r>
      <w:r>
        <w:rPr>
          <w:sz w:val="28"/>
          <w:szCs w:val="28"/>
        </w:rPr>
        <w:tab/>
      </w:r>
      <w:r>
        <w:rPr>
          <w:sz w:val="28"/>
          <w:szCs w:val="28"/>
        </w:rPr>
        <w:fldChar w:fldCharType="begin"/>
      </w:r>
      <w:r>
        <w:rPr>
          <w:sz w:val="28"/>
          <w:szCs w:val="28"/>
        </w:rPr>
        <w:instrText xml:space="preserve"> PAGEREF _Toc142233290 \h </w:instrText>
      </w:r>
      <w:r>
        <w:rPr>
          <w:sz w:val="28"/>
          <w:szCs w:val="28"/>
        </w:rPr>
        <w:fldChar w:fldCharType="separate"/>
      </w:r>
      <w:r>
        <w:rPr>
          <w:sz w:val="28"/>
          <w:szCs w:val="28"/>
        </w:rPr>
        <w:t>181</w:t>
      </w:r>
      <w:r>
        <w:rPr>
          <w:sz w:val="28"/>
          <w:szCs w:val="28"/>
        </w:rPr>
        <w:fldChar w:fldCharType="end"/>
      </w:r>
      <w:r>
        <w:rPr>
          <w:sz w:val="28"/>
          <w:szCs w:val="28"/>
        </w:rPr>
        <w:fldChar w:fldCharType="end"/>
      </w:r>
    </w:p>
    <w:p>
      <w:pPr>
        <w:pStyle w:val="25"/>
        <w:tabs>
          <w:tab w:val="right" w:leader="dot" w:pos="13948"/>
        </w:tabs>
        <w:spacing w:line="360" w:lineRule="auto"/>
        <w:rPr>
          <w:rStyle w:val="18"/>
          <w:rFonts w:eastAsia="仿宋"/>
          <w:color w:val="auto"/>
          <w:sz w:val="28"/>
          <w:szCs w:val="28"/>
        </w:rPr>
      </w:pPr>
      <w:r>
        <w:rPr>
          <w:rStyle w:val="18"/>
          <w:rFonts w:eastAsia="仿宋"/>
          <w:color w:val="auto"/>
          <w:sz w:val="28"/>
          <w:szCs w:val="28"/>
        </w:rPr>
        <w:fldChar w:fldCharType="end"/>
      </w:r>
    </w:p>
    <w:p>
      <w:pPr>
        <w:pStyle w:val="3"/>
        <w:ind w:leftChars="0" w:rightChars="0"/>
        <w:sectPr>
          <w:footerReference r:id="rId6" w:type="default"/>
          <w:pgSz w:w="16838" w:h="11906" w:orient="landscape"/>
          <w:pgMar w:top="1800" w:right="1440" w:bottom="1800" w:left="1440" w:header="851" w:footer="992" w:gutter="0"/>
          <w:pgNumType w:fmt="upperRoman" w:start="1"/>
          <w:cols w:space="720" w:num="1"/>
          <w:docGrid w:type="lines" w:linePitch="312" w:charSpace="0"/>
        </w:sectPr>
      </w:pPr>
    </w:p>
    <w:p>
      <w:pPr>
        <w:pStyle w:val="3"/>
        <w:ind w:leftChars="0" w:rightChars="0"/>
        <w:rPr>
          <w:sz w:val="32"/>
          <w:szCs w:val="32"/>
        </w:rPr>
      </w:pPr>
      <w:bookmarkStart w:id="3" w:name="_Toc82006018"/>
      <w:bookmarkStart w:id="4" w:name="_Toc79442340"/>
      <w:bookmarkStart w:id="5" w:name="_Toc81386428"/>
      <w:bookmarkStart w:id="6" w:name="_Toc142233271"/>
      <w:bookmarkStart w:id="7" w:name="_Toc2226"/>
      <w:bookmarkStart w:id="8" w:name="_Toc32298"/>
      <w:bookmarkStart w:id="9" w:name="_Toc26041"/>
      <w:bookmarkStart w:id="10" w:name="_Toc26597"/>
      <w:bookmarkStart w:id="11" w:name="_Toc3378"/>
      <w:bookmarkStart w:id="12" w:name="_Toc81386433"/>
      <w:bookmarkStart w:id="13" w:name="_Toc22800"/>
      <w:bookmarkStart w:id="14" w:name="_Toc79266538"/>
      <w:bookmarkStart w:id="15" w:name="_Toc9066"/>
      <w:bookmarkStart w:id="16" w:name="_Toc22209"/>
      <w:bookmarkStart w:id="17" w:name="_Toc79442345"/>
      <w:r>
        <w:rPr>
          <w:sz w:val="32"/>
          <w:szCs w:val="32"/>
        </w:rPr>
        <w:t>一、呼伦贝尔市总体准入要求</w:t>
      </w:r>
      <w:bookmarkEnd w:id="3"/>
      <w:bookmarkEnd w:id="4"/>
      <w:bookmarkEnd w:id="5"/>
      <w:bookmarkEnd w:id="6"/>
    </w:p>
    <w:p>
      <w:pPr>
        <w:adjustRightInd/>
        <w:snapToGrid/>
        <w:spacing w:line="360" w:lineRule="auto"/>
        <w:ind w:left="0" w:leftChars="0" w:right="0" w:rightChars="0" w:firstLine="602" w:firstLineChars="200"/>
        <w:outlineLvl w:val="1"/>
        <w:rPr>
          <w:b/>
          <w:bCs/>
          <w:sz w:val="30"/>
          <w:szCs w:val="30"/>
        </w:rPr>
      </w:pPr>
      <w:bookmarkStart w:id="18" w:name="_Toc142233272"/>
      <w:bookmarkStart w:id="19" w:name="_Toc79442341"/>
      <w:bookmarkStart w:id="20" w:name="_Toc81386429"/>
      <w:bookmarkStart w:id="21" w:name="_Toc82006019"/>
      <w:r>
        <w:rPr>
          <w:b/>
          <w:bCs/>
          <w:sz w:val="30"/>
          <w:szCs w:val="30"/>
        </w:rPr>
        <w:t>第一条关于空间布局约束的准入要求</w:t>
      </w:r>
      <w:bookmarkEnd w:id="18"/>
      <w:bookmarkEnd w:id="19"/>
      <w:bookmarkEnd w:id="20"/>
      <w:bookmarkEnd w:id="21"/>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禁止在生态保护红线内的草原上规划煤炭等矿产资源开发项目。严格控制在生态保护红线外的基本草原上规划建设新的煤炭等矿产资源开发项目、扩大煤炭等矿产资源露天开采区域。为了保障国家能源安全确需开采的，由自治区人民政府依照有关规定审批。</w:t>
      </w:r>
      <w:r>
        <w:rPr>
          <w:rFonts w:hint="eastAsia"/>
          <w:bCs/>
          <w:kern w:val="0"/>
          <w:sz w:val="30"/>
          <w:szCs w:val="30"/>
          <w:lang w:bidi="ar"/>
        </w:rPr>
        <w:t>严格落实草原征占用审核审批制度，</w:t>
      </w:r>
      <w:r>
        <w:rPr>
          <w:rFonts w:hint="eastAsia"/>
          <w:kern w:val="0"/>
          <w:sz w:val="30"/>
          <w:szCs w:val="30"/>
          <w:lang w:bidi="ar"/>
        </w:rPr>
        <w:t>严禁不符合主体功能定位的各类建设项目和高耗能、高排放项目占用草原。严格控制矿产资源开发项目外排土场占用草原，严格控制矿区范围外布局的进场道路、工业广场、尾矿库等生产辅助设施占用草原。</w:t>
      </w:r>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严格工业园区产业布局管理。积极引导工业项目向工业园区集中，除矿山、电力等特殊项目外，新建工业项目原则上要统一布局在工业园区内。不符合园区产业规划、与主导产业定位无关联的项目，原则上不得入园。新建项目生产工艺、设备、污染治理技术和单位产品能耗、水耗、污染物排放以及资源利用率必须达到同行业先进标准，低于同行业先进标准的原则上不得入园。新建化工项目一律入驻化工园区。未通过认定的化工园区或达不到一般风险等级的化工园区，不得新建、改扩建化工项目（安全、环保、节能和智能化改造项目除外）。对布局在园区外的现有重化工企业，严禁在原址审批新增产能项目。</w:t>
      </w:r>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严格控制钢铁、电解铝、水泥、电石、PVC、铁合金、平板玻璃等行业新增产能，</w:t>
      </w:r>
      <w:r>
        <w:rPr>
          <w:kern w:val="0"/>
          <w:sz w:val="30"/>
          <w:szCs w:val="30"/>
          <w:lang w:bidi="ar"/>
        </w:rPr>
        <w:t>严格落实水泥熟料、煤化工等产能控制政策。</w:t>
      </w:r>
      <w:r>
        <w:rPr>
          <w:rFonts w:hint="eastAsia"/>
          <w:kern w:val="0"/>
          <w:sz w:val="30"/>
          <w:szCs w:val="30"/>
          <w:lang w:bidi="ar"/>
        </w:rPr>
        <w:t>除国家规划布局和自治区延链补链的现代煤化工项目外，“十四五”期间原则上不再审批新的现代煤化工项目。未纳入国家相关领域产业规划的，一律不得新改扩建炼油和新建乙烯、对二甲苯、煤制烯烃项目。</w:t>
      </w:r>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各旗市区城市建成区原则上不再新建每小时35蒸吨及以下燃煤锅炉，其他区域原则上不再新建每小时</w:t>
      </w:r>
      <w:r>
        <w:rPr>
          <w:kern w:val="0"/>
          <w:sz w:val="30"/>
          <w:szCs w:val="30"/>
          <w:lang w:bidi="ar"/>
        </w:rPr>
        <w:t>10</w:t>
      </w:r>
      <w:r>
        <w:rPr>
          <w:rFonts w:hint="eastAsia"/>
          <w:kern w:val="0"/>
          <w:sz w:val="30"/>
          <w:szCs w:val="30"/>
          <w:lang w:bidi="ar"/>
        </w:rPr>
        <w:t>蒸吨及以下燃煤锅炉。</w:t>
      </w:r>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严格落实国家自然保护区内全面禁牧要求，推动呼伦湖自然保护核心区牧民转产。针对克鲁伦河中下游、乌尔逊河中下游、呼伦湖东岸等区域，采用封禁恢复、补播改良、工程治理及风滚草拦截资源化利用等修复手段，有效遏制草原荒漠化扩展和生物多样性丧失，减轻干草入水风险。</w:t>
      </w:r>
    </w:p>
    <w:p>
      <w:pPr>
        <w:adjustRightInd/>
        <w:snapToGrid/>
        <w:spacing w:line="360" w:lineRule="auto"/>
        <w:ind w:left="0" w:leftChars="0" w:right="0" w:rightChars="0" w:firstLine="602" w:firstLineChars="200"/>
        <w:outlineLvl w:val="1"/>
        <w:rPr>
          <w:rFonts w:hint="eastAsia"/>
          <w:b/>
          <w:bCs/>
          <w:sz w:val="30"/>
          <w:szCs w:val="30"/>
        </w:rPr>
      </w:pPr>
      <w:bookmarkStart w:id="22" w:name="_Toc79442342"/>
      <w:bookmarkStart w:id="23" w:name="_Toc81386430"/>
      <w:bookmarkStart w:id="24" w:name="_Toc82006020"/>
      <w:bookmarkStart w:id="25" w:name="_Toc142233273"/>
    </w:p>
    <w:p>
      <w:pPr>
        <w:adjustRightInd/>
        <w:snapToGrid/>
        <w:spacing w:line="360" w:lineRule="auto"/>
        <w:ind w:left="0" w:leftChars="0" w:right="0" w:rightChars="0" w:firstLine="602" w:firstLineChars="200"/>
        <w:outlineLvl w:val="1"/>
        <w:rPr>
          <w:b/>
          <w:bCs/>
          <w:sz w:val="30"/>
          <w:szCs w:val="30"/>
        </w:rPr>
      </w:pPr>
      <w:r>
        <w:rPr>
          <w:b/>
          <w:bCs/>
          <w:sz w:val="30"/>
          <w:szCs w:val="30"/>
        </w:rPr>
        <w:t>第二条关于污染物排放管控的准入要求</w:t>
      </w:r>
      <w:bookmarkEnd w:id="22"/>
      <w:bookmarkEnd w:id="23"/>
      <w:bookmarkEnd w:id="24"/>
      <w:bookmarkEnd w:id="25"/>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新建“两高”项目应按照《关于加强重点行业建设项目区域削减措施监督管理的通知》要求，依据区域环境质量改善目标，制定配套区域污染物削减方案，采取有效的污染物区域削减措施，腾出足够的环境容量。出台超低排放要求的“两高”行业建设项目应满足超低排放要求。推进水泥行业超低排放改造，对采用简易碱法脱硫、湿法脱硫脱硝除尘一体化、脱硫脱硝一体化等末端治理工艺的企业，实施低效治污设施升级改造。</w:t>
      </w:r>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新建城镇污水处理设施应执行《城镇污水处理厂污染物排放标准》一级A排放标准。严格城市建成区内排污单位污水排放管理和污水处理设施运营监控，做到应收尽收、达标排放</w:t>
      </w:r>
      <w:r>
        <w:rPr>
          <w:kern w:val="0"/>
          <w:sz w:val="30"/>
          <w:szCs w:val="30"/>
          <w:lang w:bidi="ar"/>
        </w:rPr>
        <w:t>。</w:t>
      </w:r>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严格执行《内蒙古自治区绿色矿山建设方案》《呼伦贝尔市绿色矿山建设实施方案》，新建矿山全部达到绿色矿山建设标准；生产矿山应加快改造升级，限期达到绿色矿山建设标准</w:t>
      </w:r>
      <w:r>
        <w:rPr>
          <w:kern w:val="0"/>
          <w:sz w:val="30"/>
          <w:szCs w:val="30"/>
          <w:lang w:bidi="ar"/>
        </w:rPr>
        <w:t>。</w:t>
      </w:r>
    </w:p>
    <w:p>
      <w:pPr>
        <w:adjustRightInd/>
        <w:snapToGrid/>
        <w:spacing w:line="360" w:lineRule="auto"/>
        <w:ind w:left="0" w:leftChars="0" w:right="0" w:rightChars="0" w:firstLine="600" w:firstLineChars="200"/>
        <w:rPr>
          <w:kern w:val="0"/>
          <w:sz w:val="30"/>
          <w:szCs w:val="30"/>
          <w:lang w:bidi="ar"/>
        </w:rPr>
      </w:pPr>
      <w:r>
        <w:rPr>
          <w:kern w:val="0"/>
          <w:sz w:val="30"/>
          <w:szCs w:val="30"/>
          <w:lang w:bidi="ar"/>
        </w:rPr>
        <w:t>加强涉重金属行业污染防控</w:t>
      </w:r>
      <w:r>
        <w:rPr>
          <w:rFonts w:hint="eastAsia"/>
          <w:kern w:val="0"/>
          <w:sz w:val="30"/>
          <w:szCs w:val="30"/>
          <w:lang w:bidi="ar"/>
        </w:rPr>
        <w:t>，</w:t>
      </w:r>
      <w:r>
        <w:rPr>
          <w:kern w:val="0"/>
          <w:sz w:val="30"/>
          <w:szCs w:val="30"/>
          <w:lang w:bidi="ar"/>
        </w:rPr>
        <w:t>严格执行重金属污染物排放标准并落实相关总量控制指标，新改扩建重点行业建设项目遵循重点重金属污染物排放“等量替代”原则。</w:t>
      </w:r>
    </w:p>
    <w:p>
      <w:pPr>
        <w:pStyle w:val="2"/>
        <w:rPr>
          <w:lang w:bidi="ar"/>
        </w:rPr>
      </w:pPr>
    </w:p>
    <w:p>
      <w:pPr>
        <w:adjustRightInd/>
        <w:snapToGrid/>
        <w:spacing w:line="360" w:lineRule="auto"/>
        <w:ind w:left="0" w:leftChars="0" w:right="0" w:rightChars="0" w:firstLine="602" w:firstLineChars="200"/>
        <w:outlineLvl w:val="1"/>
        <w:rPr>
          <w:b/>
          <w:bCs/>
          <w:sz w:val="30"/>
          <w:szCs w:val="30"/>
        </w:rPr>
      </w:pPr>
      <w:bookmarkStart w:id="26" w:name="_Toc79442343"/>
      <w:bookmarkStart w:id="27" w:name="_Toc81386431"/>
      <w:bookmarkStart w:id="28" w:name="_Toc142233274"/>
      <w:bookmarkStart w:id="29" w:name="_Toc82006021"/>
      <w:r>
        <w:rPr>
          <w:b/>
          <w:bCs/>
          <w:sz w:val="30"/>
          <w:szCs w:val="30"/>
        </w:rPr>
        <w:t>第三条关于环境风险防控的准入要求</w:t>
      </w:r>
      <w:bookmarkEnd w:id="26"/>
      <w:bookmarkEnd w:id="27"/>
      <w:bookmarkEnd w:id="28"/>
      <w:bookmarkEnd w:id="29"/>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强化政府、园区、企业环境风险防控，构建区域环境风险联防联控机制，提高突发环境事件应急处置能力。</w:t>
      </w:r>
    </w:p>
    <w:p>
      <w:pPr>
        <w:widowControl/>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松花江流域干流沿岸严格控制石油加工、化学原料和化学制品制造、医药制造、化学纤维制造、有色金属冶炼、纺织印染等项目环境风险，合理布局生产装置及危险化学品仓储等设施。</w:t>
      </w:r>
    </w:p>
    <w:p>
      <w:pPr>
        <w:tabs>
          <w:tab w:val="left" w:pos="1715"/>
        </w:tabs>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加强采矿引起的滑坡、塌陷等次生地质灾害的防范和治理，及时回填废弃巷道和采空区，要充分利用采矿疏干排出的地下水，最大限度的维持矿区生态平衡。</w:t>
      </w:r>
    </w:p>
    <w:p>
      <w:pPr>
        <w:widowControl/>
        <w:adjustRightInd/>
        <w:snapToGrid/>
        <w:spacing w:line="360" w:lineRule="auto"/>
        <w:ind w:left="0" w:leftChars="0" w:right="0" w:rightChars="0" w:firstLine="600" w:firstLineChars="200"/>
        <w:rPr>
          <w:lang w:bidi="ar"/>
        </w:rPr>
      </w:pPr>
      <w:r>
        <w:rPr>
          <w:rFonts w:hint="eastAsia"/>
          <w:kern w:val="0"/>
          <w:sz w:val="30"/>
          <w:szCs w:val="30"/>
          <w:lang w:bidi="ar"/>
        </w:rPr>
        <w:t>严格建设用地土壤污染风险管控和修复名录内地块的准入管理，严禁将不符合建设用地土壤环境质量标准的地块开发作为住宅、公共管理和公共服务用地。</w:t>
      </w:r>
    </w:p>
    <w:p>
      <w:pPr>
        <w:pStyle w:val="2"/>
        <w:rPr>
          <w:lang w:bidi="ar"/>
        </w:rPr>
      </w:pPr>
    </w:p>
    <w:p>
      <w:pPr>
        <w:adjustRightInd/>
        <w:snapToGrid/>
        <w:spacing w:line="360" w:lineRule="auto"/>
        <w:ind w:left="0" w:leftChars="0" w:right="0" w:rightChars="0" w:firstLine="602" w:firstLineChars="200"/>
        <w:outlineLvl w:val="1"/>
        <w:rPr>
          <w:b/>
          <w:bCs/>
          <w:sz w:val="30"/>
          <w:szCs w:val="30"/>
        </w:rPr>
      </w:pPr>
      <w:bookmarkStart w:id="30" w:name="_Toc79442344"/>
      <w:bookmarkStart w:id="31" w:name="_Toc142233275"/>
      <w:bookmarkStart w:id="32" w:name="_Toc82006022"/>
      <w:bookmarkStart w:id="33" w:name="_Toc81386432"/>
      <w:r>
        <w:rPr>
          <w:b/>
          <w:bCs/>
          <w:sz w:val="30"/>
          <w:szCs w:val="30"/>
        </w:rPr>
        <w:t>第四条关于资源开发效率的准入要求</w:t>
      </w:r>
      <w:bookmarkEnd w:id="30"/>
      <w:bookmarkEnd w:id="31"/>
      <w:bookmarkEnd w:id="32"/>
      <w:bookmarkEnd w:id="33"/>
    </w:p>
    <w:p>
      <w:pPr>
        <w:tabs>
          <w:tab w:val="left" w:pos="1715"/>
        </w:tabs>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优化呼伦湖水资源调度运行管理，加强湖水流通，同时适当控制入湖污染负荷，开展呼伦湖生态补水调度控制、水资源优化配置、新开河泄水闸等工程，以维持湖体水量稳定及湿地生态系统恢复。</w:t>
      </w:r>
    </w:p>
    <w:p>
      <w:pPr>
        <w:tabs>
          <w:tab w:val="left" w:pos="1715"/>
        </w:tabs>
        <w:adjustRightInd/>
        <w:snapToGrid/>
        <w:spacing w:line="360" w:lineRule="auto"/>
        <w:ind w:left="0" w:leftChars="0" w:right="0" w:rightChars="0" w:firstLine="600" w:firstLineChars="200"/>
        <w:rPr>
          <w:kern w:val="0"/>
          <w:sz w:val="30"/>
          <w:szCs w:val="30"/>
          <w:lang w:bidi="ar"/>
        </w:rPr>
      </w:pPr>
      <w:r>
        <w:rPr>
          <w:rFonts w:hint="eastAsia"/>
          <w:kern w:val="0"/>
          <w:sz w:val="30"/>
          <w:szCs w:val="30"/>
          <w:lang w:bidi="ar"/>
        </w:rPr>
        <w:t>严格执行取用水总量控制制度，推进矿井水综合利用，煤炭矿区的补充用水、周边地区生产和生态用水应优先使用矿井水，加强洗煤废水循环利用。强化水资源论证管理，优化水源配置，鼓励优先配置利用中水、疏干水等非常规水源。</w:t>
      </w:r>
    </w:p>
    <w:p>
      <w:pPr>
        <w:widowControl/>
        <w:adjustRightInd/>
        <w:snapToGrid/>
        <w:spacing w:line="360" w:lineRule="auto"/>
        <w:ind w:left="0" w:leftChars="0" w:right="0" w:rightChars="0" w:firstLine="600" w:firstLineChars="200"/>
        <w:rPr>
          <w:bCs/>
          <w:kern w:val="0"/>
          <w:sz w:val="30"/>
          <w:szCs w:val="30"/>
          <w:lang w:bidi="ar"/>
        </w:rPr>
      </w:pPr>
      <w:r>
        <w:rPr>
          <w:rFonts w:hint="eastAsia"/>
          <w:bCs/>
          <w:kern w:val="0"/>
          <w:sz w:val="30"/>
          <w:szCs w:val="30"/>
          <w:lang w:bidi="ar"/>
        </w:rPr>
        <w:t>实行地下水取用水总量控制和水位控制制度。禁止取用深层地下水用于农业灌溉。新建、改建、扩建工业和服务业项目用水水平不得低于国家或者自治区行业用水定额的先进值；尚未制定先进值的，应当不低于通用用水定额。用水水平低于通用用水定额的工业和服务业企业应当限期实施节水改造。新建、改建、扩建火力发电、钢铁、纺织、造纸、石化和化工等高耗水工业项目禁止取用地下水。对水质有特殊要求的食品、药品等工业项目或者不具备其他水源供水条件的其他工业项目，符合地下水取用水总量和水位控制要求的，可以依法取用地下水。城市绿化优先使用再生水，严禁取用地下水用于城市水景观、水上娱乐项目和人工造雪。</w:t>
      </w:r>
    </w:p>
    <w:p>
      <w:pPr>
        <w:widowControl/>
        <w:adjustRightInd/>
        <w:snapToGrid/>
        <w:spacing w:line="360" w:lineRule="auto"/>
        <w:ind w:left="0" w:leftChars="0" w:right="0" w:rightChars="0" w:firstLine="600" w:firstLineChars="200"/>
        <w:rPr>
          <w:lang w:bidi="ar"/>
        </w:rPr>
      </w:pPr>
      <w:r>
        <w:rPr>
          <w:rFonts w:hint="eastAsia"/>
          <w:bCs/>
          <w:kern w:val="0"/>
          <w:sz w:val="30"/>
          <w:szCs w:val="30"/>
          <w:lang w:bidi="ar"/>
        </w:rPr>
        <w:t>新建、改扩建</w:t>
      </w:r>
      <w:r>
        <w:rPr>
          <w:rFonts w:hint="eastAsia"/>
          <w:kern w:val="0"/>
          <w:sz w:val="30"/>
          <w:szCs w:val="30"/>
          <w:lang w:bidi="ar"/>
        </w:rPr>
        <w:t>《</w:t>
      </w:r>
      <w:r>
        <w:rPr>
          <w:rFonts w:hint="eastAsia"/>
          <w:bCs/>
          <w:kern w:val="0"/>
          <w:sz w:val="30"/>
          <w:szCs w:val="30"/>
          <w:lang w:bidi="ar"/>
        </w:rPr>
        <w:t>内蒙古自治区坚决遏制“两高一低”项目盲目发展管控目录</w:t>
      </w:r>
      <w:r>
        <w:rPr>
          <w:rFonts w:hint="eastAsia"/>
          <w:kern w:val="0"/>
          <w:sz w:val="30"/>
          <w:szCs w:val="30"/>
          <w:lang w:bidi="ar"/>
        </w:rPr>
        <w:t>》中的</w:t>
      </w:r>
      <w:r>
        <w:rPr>
          <w:rFonts w:hint="eastAsia"/>
          <w:bCs/>
          <w:kern w:val="0"/>
          <w:sz w:val="30"/>
          <w:szCs w:val="30"/>
          <w:lang w:bidi="ar"/>
        </w:rPr>
        <w:t>“两高”项目，工艺技术装备必须达到同行业先进水平，单位产品能耗必须达到国家能效标杆水平或先进标准；单位增加值能耗既要达到所在盟市标杆值，也要达到自治区平均标杆值。</w:t>
      </w:r>
    </w:p>
    <w:bookmarkEnd w:id="7"/>
    <w:bookmarkEnd w:id="8"/>
    <w:bookmarkEnd w:id="9"/>
    <w:bookmarkEnd w:id="10"/>
    <w:bookmarkEnd w:id="11"/>
    <w:bookmarkEnd w:id="12"/>
    <w:bookmarkEnd w:id="13"/>
    <w:bookmarkEnd w:id="14"/>
    <w:bookmarkEnd w:id="15"/>
    <w:bookmarkEnd w:id="16"/>
    <w:bookmarkEnd w:id="17"/>
    <w:p>
      <w:pPr>
        <w:widowControl/>
        <w:adjustRightInd/>
        <w:snapToGrid/>
        <w:spacing w:line="360" w:lineRule="auto"/>
        <w:ind w:left="0" w:leftChars="0" w:right="0" w:rightChars="0" w:firstLine="640" w:firstLineChars="200"/>
        <w:rPr>
          <w:b/>
          <w:bCs/>
          <w:kern w:val="44"/>
          <w:sz w:val="32"/>
          <w:szCs w:val="32"/>
        </w:rPr>
      </w:pPr>
      <w:r>
        <w:rPr>
          <w:sz w:val="32"/>
          <w:szCs w:val="32"/>
        </w:rPr>
        <w:br w:type="page"/>
      </w:r>
    </w:p>
    <w:p>
      <w:pPr>
        <w:pStyle w:val="3"/>
        <w:ind w:leftChars="0" w:rightChars="0"/>
        <w:rPr>
          <w:sz w:val="32"/>
          <w:szCs w:val="32"/>
        </w:rPr>
      </w:pPr>
      <w:bookmarkStart w:id="34" w:name="_Toc142233276"/>
      <w:r>
        <w:rPr>
          <w:sz w:val="32"/>
          <w:szCs w:val="32"/>
        </w:rPr>
        <w:t>二、各旗（县、区）管控单元准入要求</w:t>
      </w:r>
      <w:bookmarkEnd w:id="34"/>
    </w:p>
    <w:p>
      <w:pPr>
        <w:pStyle w:val="4"/>
        <w:ind w:left="0" w:leftChars="0" w:right="0" w:rightChars="0"/>
        <w:rPr>
          <w:rFonts w:ascii="Times New Roman" w:hAnsi="Times New Roman" w:eastAsia="仿宋_GB2312"/>
        </w:rPr>
      </w:pPr>
      <w:bookmarkStart w:id="35" w:name="_Toc142233277"/>
      <w:r>
        <w:rPr>
          <w:rFonts w:ascii="Times New Roman" w:hAnsi="Times New Roman" w:eastAsia="仿宋_GB2312"/>
        </w:rPr>
        <w:t>（一）呼伦贝尔市海拉尔区生态环境准入清单</w:t>
      </w:r>
      <w:bookmarkEnd w:id="0"/>
      <w:bookmarkEnd w:id="1"/>
      <w:bookmarkEnd w:id="2"/>
      <w:bookmarkEnd w:id="35"/>
    </w:p>
    <w:p>
      <w:pPr>
        <w:ind w:left="0" w:leftChars="0" w:right="0" w:rightChars="0"/>
        <w:jc w:val="center"/>
        <w:rPr>
          <w:b/>
          <w:bCs/>
          <w:sz w:val="28"/>
          <w:szCs w:val="28"/>
        </w:rPr>
      </w:pPr>
      <w:r>
        <w:rPr>
          <w:b/>
          <w:bCs/>
          <w:sz w:val="28"/>
          <w:szCs w:val="28"/>
        </w:rPr>
        <w:t>表1呼伦贝尔市海拉尔区生态环境准入清单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5"/>
        <w:gridCol w:w="1671"/>
        <w:gridCol w:w="1376"/>
        <w:gridCol w:w="1061"/>
        <w:gridCol w:w="8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071" w:type="dxa"/>
            <w:vAlign w:val="center"/>
          </w:tcPr>
          <w:p>
            <w:pPr>
              <w:widowControl/>
              <w:ind w:left="0" w:leftChars="0" w:right="0" w:rightChars="0"/>
              <w:jc w:val="center"/>
              <w:rPr>
                <w:b/>
                <w:bCs/>
                <w:szCs w:val="21"/>
              </w:rPr>
            </w:pPr>
            <w:r>
              <w:rPr>
                <w:b/>
                <w:bCs/>
                <w:szCs w:val="21"/>
              </w:rPr>
              <w:t>环境管控单元编码</w:t>
            </w:r>
          </w:p>
        </w:tc>
        <w:tc>
          <w:tcPr>
            <w:tcW w:w="1121" w:type="dxa"/>
            <w:vAlign w:val="center"/>
          </w:tcPr>
          <w:p>
            <w:pPr>
              <w:widowControl/>
              <w:ind w:left="0" w:leftChars="0" w:right="0" w:rightChars="0"/>
              <w:jc w:val="center"/>
              <w:rPr>
                <w:b/>
                <w:bCs/>
                <w:szCs w:val="21"/>
              </w:rPr>
            </w:pPr>
            <w:r>
              <w:rPr>
                <w:b/>
                <w:bCs/>
                <w:szCs w:val="21"/>
              </w:rPr>
              <w:t>环境管控单元名称</w:t>
            </w:r>
          </w:p>
        </w:tc>
        <w:tc>
          <w:tcPr>
            <w:tcW w:w="923" w:type="dxa"/>
            <w:vAlign w:val="center"/>
          </w:tcPr>
          <w:p>
            <w:pPr>
              <w:widowControl/>
              <w:ind w:left="0" w:leftChars="0" w:right="0" w:rightChars="0"/>
              <w:jc w:val="center"/>
              <w:rPr>
                <w:b/>
                <w:bCs/>
                <w:szCs w:val="21"/>
              </w:rPr>
            </w:pPr>
            <w:r>
              <w:rPr>
                <w:b/>
                <w:bCs/>
                <w:szCs w:val="21"/>
              </w:rPr>
              <w:t>管控单元类别</w:t>
            </w:r>
          </w:p>
        </w:tc>
        <w:tc>
          <w:tcPr>
            <w:tcW w:w="6396"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Align w:val="center"/>
          </w:tcPr>
          <w:p>
            <w:pPr>
              <w:widowControl/>
              <w:spacing w:line="240" w:lineRule="auto"/>
              <w:ind w:left="0" w:leftChars="0" w:right="0" w:rightChars="0"/>
              <w:jc w:val="center"/>
              <w:textAlignment w:val="bottom"/>
              <w:rPr>
                <w:rFonts w:eastAsia="楷体"/>
                <w:sz w:val="20"/>
                <w:szCs w:val="20"/>
              </w:rPr>
            </w:pPr>
            <w:r>
              <w:rPr>
                <w:rFonts w:hint="eastAsia"/>
                <w:szCs w:val="21"/>
              </w:rPr>
              <w:t>ZH15070210001</w:t>
            </w:r>
          </w:p>
        </w:tc>
        <w:tc>
          <w:tcPr>
            <w:tcW w:w="1121" w:type="dxa"/>
            <w:vAlign w:val="center"/>
          </w:tcPr>
          <w:p>
            <w:pPr>
              <w:widowControl/>
              <w:ind w:left="0" w:leftChars="0" w:right="0" w:rightChars="0"/>
              <w:jc w:val="center"/>
              <w:rPr>
                <w:szCs w:val="21"/>
              </w:rPr>
            </w:pPr>
            <w:r>
              <w:rPr>
                <w:szCs w:val="21"/>
              </w:rPr>
              <w:t>内蒙古海拉尔国家森林公园</w:t>
            </w:r>
          </w:p>
        </w:tc>
        <w:tc>
          <w:tcPr>
            <w:tcW w:w="923" w:type="dxa"/>
            <w:vAlign w:val="center"/>
          </w:tcPr>
          <w:p>
            <w:pPr>
              <w:widowControl/>
              <w:ind w:left="0" w:leftChars="0" w:right="0" w:rightChars="0"/>
              <w:jc w:val="center"/>
              <w:rPr>
                <w:szCs w:val="21"/>
              </w:rPr>
            </w:pPr>
            <w:r>
              <w:rPr>
                <w:szCs w:val="21"/>
              </w:rPr>
              <w:t>优先保护单元</w:t>
            </w:r>
          </w:p>
        </w:tc>
        <w:tc>
          <w:tcPr>
            <w:tcW w:w="712" w:type="dxa"/>
            <w:vAlign w:val="center"/>
          </w:tcPr>
          <w:p>
            <w:pPr>
              <w:widowControl/>
              <w:ind w:left="0" w:leftChars="0" w:right="0" w:rightChars="0"/>
              <w:jc w:val="center"/>
              <w:textAlignment w:val="center"/>
              <w:rPr>
                <w:szCs w:val="21"/>
              </w:rPr>
            </w:pPr>
            <w:r>
              <w:rPr>
                <w:kern w:val="0"/>
                <w:szCs w:val="21"/>
                <w:lang w:bidi="ar"/>
              </w:rPr>
              <w:t>空间布局约束</w:t>
            </w:r>
          </w:p>
        </w:tc>
        <w:tc>
          <w:tcPr>
            <w:tcW w:w="5684"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w:t>
            </w:r>
            <w:r>
              <w:rPr>
                <w:rFonts w:hint="eastAsia"/>
                <w:kern w:val="0"/>
              </w:rPr>
              <w:t>）</w:t>
            </w:r>
            <w:r>
              <w:rPr>
                <w:rFonts w:hint="eastAsia"/>
              </w:rPr>
              <w:t>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1" w:type="dxa"/>
            <w:vAlign w:val="center"/>
          </w:tcPr>
          <w:p>
            <w:pPr>
              <w:widowControl/>
              <w:ind w:left="0" w:leftChars="0" w:right="0" w:rightChars="0"/>
              <w:jc w:val="center"/>
              <w:rPr>
                <w:szCs w:val="21"/>
              </w:rPr>
            </w:pPr>
            <w:r>
              <w:rPr>
                <w:rFonts w:hint="eastAsia"/>
                <w:szCs w:val="21"/>
              </w:rPr>
              <w:t>ZH15070210002</w:t>
            </w:r>
          </w:p>
        </w:tc>
        <w:tc>
          <w:tcPr>
            <w:tcW w:w="1121" w:type="dxa"/>
            <w:vAlign w:val="center"/>
          </w:tcPr>
          <w:p>
            <w:pPr>
              <w:widowControl/>
              <w:ind w:left="0" w:leftChars="0" w:right="0" w:rightChars="0"/>
              <w:jc w:val="center"/>
              <w:rPr>
                <w:szCs w:val="21"/>
              </w:rPr>
            </w:pPr>
            <w:r>
              <w:rPr>
                <w:rFonts w:hint="eastAsia"/>
                <w:szCs w:val="21"/>
              </w:rPr>
              <w:t>海拉尔区水源涵养生态功能重要区域</w:t>
            </w:r>
          </w:p>
        </w:tc>
        <w:tc>
          <w:tcPr>
            <w:tcW w:w="923" w:type="dxa"/>
            <w:vAlign w:val="center"/>
          </w:tcPr>
          <w:p>
            <w:pPr>
              <w:widowControl/>
              <w:ind w:left="0" w:leftChars="0" w:right="0" w:rightChars="0"/>
              <w:jc w:val="center"/>
              <w:rPr>
                <w:szCs w:val="21"/>
              </w:rPr>
            </w:pPr>
            <w:r>
              <w:rPr>
                <w:szCs w:val="21"/>
              </w:rPr>
              <w:t>优先保护单元</w:t>
            </w:r>
          </w:p>
        </w:tc>
        <w:tc>
          <w:tcPr>
            <w:tcW w:w="71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pStyle w:val="2"/>
              <w:ind w:left="0" w:leftChars="0" w:firstLine="0"/>
            </w:pPr>
            <w:r>
              <w:rPr>
                <w:rFonts w:hint="eastAsia"/>
              </w:rPr>
              <w:t>3.海拉尔区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widowControl/>
              <w:ind w:left="0" w:leftChars="0" w:right="0" w:rightChars="0"/>
              <w:jc w:val="center"/>
              <w:textAlignment w:val="center"/>
              <w:rPr>
                <w:szCs w:val="21"/>
              </w:rPr>
            </w:pPr>
            <w:r>
              <w:rPr>
                <w:rFonts w:hint="eastAsia"/>
                <w:szCs w:val="21"/>
              </w:rPr>
              <w:t>ZH15070220001</w:t>
            </w:r>
          </w:p>
        </w:tc>
        <w:tc>
          <w:tcPr>
            <w:tcW w:w="1121" w:type="dxa"/>
            <w:vMerge w:val="restart"/>
            <w:vAlign w:val="center"/>
          </w:tcPr>
          <w:p>
            <w:pPr>
              <w:widowControl/>
              <w:ind w:left="0" w:leftChars="0" w:right="0" w:rightChars="0"/>
              <w:jc w:val="center"/>
              <w:textAlignment w:val="center"/>
              <w:rPr>
                <w:szCs w:val="21"/>
              </w:rPr>
            </w:pPr>
            <w:r>
              <w:rPr>
                <w:szCs w:val="21"/>
              </w:rPr>
              <w:t>宝日希勒矿区</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widowControl/>
              <w:ind w:left="0" w:leftChars="0" w:right="0" w:rightChars="0"/>
              <w:textAlignment w:val="cente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rPr>
                <w:szCs w:val="21"/>
              </w:rPr>
            </w:pPr>
          </w:p>
        </w:tc>
        <w:tc>
          <w:tcPr>
            <w:tcW w:w="1121" w:type="dxa"/>
            <w:vMerge w:val="continue"/>
            <w:vAlign w:val="center"/>
          </w:tcPr>
          <w:p>
            <w:pPr>
              <w:widowControl/>
              <w:ind w:left="0" w:leftChars="0" w:right="0" w:rightChars="0"/>
              <w:jc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rPr>
                <w:szCs w:val="21"/>
              </w:rPr>
            </w:pPr>
          </w:p>
        </w:tc>
        <w:tc>
          <w:tcPr>
            <w:tcW w:w="1121" w:type="dxa"/>
            <w:vMerge w:val="continue"/>
            <w:vAlign w:val="center"/>
          </w:tcPr>
          <w:p>
            <w:pPr>
              <w:widowControl/>
              <w:ind w:left="0" w:leftChars="0" w:right="0" w:rightChars="0"/>
              <w:jc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rPr>
                <w:szCs w:val="21"/>
              </w:rPr>
            </w:pPr>
          </w:p>
        </w:tc>
        <w:tc>
          <w:tcPr>
            <w:tcW w:w="1121" w:type="dxa"/>
            <w:vMerge w:val="continue"/>
            <w:vAlign w:val="center"/>
          </w:tcPr>
          <w:p>
            <w:pPr>
              <w:widowControl/>
              <w:ind w:left="0" w:leftChars="0" w:right="0" w:rightChars="0"/>
              <w:jc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pStyle w:val="2"/>
              <w:ind w:left="0" w:leftChars="0" w:firstLine="0"/>
              <w:jc w:val="center"/>
            </w:pPr>
            <w:r>
              <w:rPr>
                <w:kern w:val="0"/>
                <w:szCs w:val="21"/>
                <w:lang w:bidi="ar"/>
              </w:rPr>
              <w:t>ZH15070220002</w:t>
            </w:r>
          </w:p>
        </w:tc>
        <w:tc>
          <w:tcPr>
            <w:tcW w:w="1121" w:type="dxa"/>
            <w:vMerge w:val="restart"/>
            <w:vAlign w:val="center"/>
          </w:tcPr>
          <w:p>
            <w:pPr>
              <w:widowControl/>
              <w:ind w:left="0" w:leftChars="0" w:right="0" w:rightChars="0"/>
              <w:jc w:val="center"/>
              <w:textAlignment w:val="center"/>
            </w:pPr>
            <w:r>
              <w:rPr>
                <w:kern w:val="0"/>
                <w:szCs w:val="21"/>
                <w:lang w:bidi="ar"/>
              </w:rPr>
              <w:t>海拉尔区城镇空间</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rPr>
                <w:szCs w:val="21"/>
              </w:rPr>
            </w:pPr>
            <w:r>
              <w:rPr>
                <w:szCs w:val="21"/>
              </w:rPr>
              <w:t>1.扩大城镇集中供热覆盖范围，加大燃煤小锅炉淘汰力度，鼓励采取太阳能、风能多能互补清洁取暖，旗市区城市建成区原则上不再新建35t/h</w:t>
            </w:r>
            <w:r>
              <w:rPr>
                <w:rFonts w:hint="eastAsia"/>
                <w:szCs w:val="21"/>
              </w:rPr>
              <w:t>及</w:t>
            </w:r>
            <w:r>
              <w:rPr>
                <w:szCs w:val="21"/>
              </w:rPr>
              <w:t>以下燃煤锅炉。</w:t>
            </w:r>
          </w:p>
          <w:p>
            <w:pPr>
              <w:widowControl/>
              <w:ind w:left="0" w:leftChars="0" w:right="0" w:rightChars="0"/>
              <w:textAlignment w:val="center"/>
            </w:pPr>
            <w:r>
              <w:rPr>
                <w:szCs w:val="21"/>
              </w:rP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pStyle w:val="2"/>
              <w:ind w:left="0" w:leftChars="0" w:firstLine="0"/>
              <w:jc w:val="center"/>
            </w:pPr>
          </w:p>
        </w:tc>
        <w:tc>
          <w:tcPr>
            <w:tcW w:w="1121" w:type="dxa"/>
            <w:vMerge w:val="continue"/>
            <w:vAlign w:val="center"/>
          </w:tcPr>
          <w:p>
            <w:pPr>
              <w:widowControl/>
              <w:ind w:left="0" w:leftChars="0" w:right="0" w:rightChars="0"/>
              <w:jc w:val="center"/>
              <w:textAlignment w:val="cente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rPr>
                <w:szCs w:val="21"/>
              </w:rPr>
            </w:pPr>
            <w:r>
              <w:rPr>
                <w:szCs w:val="21"/>
              </w:rPr>
              <w:t>1.提升城镇生活污水收集管网覆盖率，逐步实施雨污管网分流改造、管网更新、破损修复、中水回用等工程。</w:t>
            </w:r>
          </w:p>
          <w:p>
            <w:pPr>
              <w:widowControl/>
              <w:ind w:left="0" w:leftChars="0" w:right="0" w:rightChars="0"/>
              <w:textAlignment w:val="center"/>
            </w:pPr>
            <w:r>
              <w:rPr>
                <w:szCs w:val="21"/>
              </w:rP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pStyle w:val="2"/>
              <w:ind w:left="0" w:leftChars="0" w:firstLine="0"/>
              <w:jc w:val="center"/>
            </w:pPr>
          </w:p>
        </w:tc>
        <w:tc>
          <w:tcPr>
            <w:tcW w:w="1121" w:type="dxa"/>
            <w:vMerge w:val="continue"/>
            <w:vAlign w:val="center"/>
          </w:tcPr>
          <w:p>
            <w:pPr>
              <w:widowControl/>
              <w:ind w:left="0" w:leftChars="0" w:right="0" w:rightChars="0"/>
              <w:jc w:val="center"/>
              <w:textAlignment w:val="cente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rPr>
                <w:szCs w:val="21"/>
              </w:rPr>
            </w:pPr>
            <w:r>
              <w:rPr>
                <w:rFonts w:hint="eastAsia"/>
                <w:szCs w:val="21"/>
              </w:rPr>
              <w:t>1、</w:t>
            </w:r>
            <w:r>
              <w:rPr>
                <w:szCs w:val="21"/>
              </w:rPr>
              <w:t>高污染燃料禁燃区内禁止新建、改建和扩建任何燃用高污染燃料的项目和设备；禁止销售、燃用高污染燃料；已建成使用高污染燃料的各类设备应当拆除或者改用管道天然气、页岩气、液化石油气、电或其他清洁能源；在不具备使用清洁能源条件的区域，可使用配备专用锅炉和除尘装置的生物质成型燃料；现有燃用高污染燃料设备在拆除或改造之前，有关单位和个人应当采取措施，确保排放的大气污染物达到国家和地方规定的大气污染物排放标准。</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Align w:val="center"/>
          </w:tcPr>
          <w:p>
            <w:pPr>
              <w:pStyle w:val="2"/>
              <w:ind w:left="0" w:leftChars="0" w:firstLine="0"/>
              <w:jc w:val="center"/>
            </w:pPr>
            <w:r>
              <w:rPr>
                <w:szCs w:val="21"/>
              </w:rPr>
              <w:t>ZH15070220003</w:t>
            </w:r>
          </w:p>
        </w:tc>
        <w:tc>
          <w:tcPr>
            <w:tcW w:w="1121" w:type="dxa"/>
            <w:vAlign w:val="center"/>
          </w:tcPr>
          <w:p>
            <w:pPr>
              <w:widowControl/>
              <w:ind w:left="0" w:leftChars="0" w:right="0" w:rightChars="0"/>
              <w:jc w:val="center"/>
              <w:textAlignment w:val="center"/>
            </w:pPr>
            <w:r>
              <w:rPr>
                <w:rFonts w:hint="eastAsia"/>
                <w:szCs w:val="21"/>
              </w:rPr>
              <w:t>海拉尔区大气环境布局敏感重点管控区</w:t>
            </w:r>
          </w:p>
        </w:tc>
        <w:tc>
          <w:tcPr>
            <w:tcW w:w="923" w:type="dxa"/>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rPr>
                <w:szCs w:val="21"/>
              </w:rPr>
            </w:pPr>
            <w:r>
              <w:rPr>
                <w:rFonts w:hint="eastAsia"/>
                <w:szCs w:val="21"/>
              </w:rPr>
              <w:t>科学制定并严格实施城市规划，规范各类产业园区及城市新城、新区设立和布局，进一步推进“多规合一”，形成有利于大气污染物扩散的城市和区域空间格局。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pStyle w:val="2"/>
              <w:ind w:left="0" w:leftChars="0" w:firstLine="0"/>
              <w:jc w:val="center"/>
            </w:pPr>
            <w:r>
              <w:rPr>
                <w:szCs w:val="21"/>
              </w:rPr>
              <w:t>ZH15070220004</w:t>
            </w:r>
          </w:p>
        </w:tc>
        <w:tc>
          <w:tcPr>
            <w:tcW w:w="1121" w:type="dxa"/>
            <w:vMerge w:val="restart"/>
            <w:vAlign w:val="center"/>
          </w:tcPr>
          <w:p>
            <w:pPr>
              <w:widowControl/>
              <w:ind w:left="0" w:leftChars="0" w:right="0" w:rightChars="0"/>
              <w:jc w:val="center"/>
              <w:textAlignment w:val="center"/>
            </w:pPr>
            <w:r>
              <w:rPr>
                <w:rFonts w:hint="eastAsia"/>
                <w:szCs w:val="21"/>
              </w:rPr>
              <w:t>海拉尔区大气环境高排放重点管控区</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rFonts w:hint="eastAsia"/>
                <w:szCs w:val="21"/>
              </w:rPr>
              <w:t>空间布局约束</w:t>
            </w:r>
          </w:p>
        </w:tc>
        <w:tc>
          <w:tcPr>
            <w:tcW w:w="5684" w:type="dxa"/>
            <w:vAlign w:val="center"/>
          </w:tcPr>
          <w:p>
            <w:pPr>
              <w:widowControl/>
              <w:ind w:left="0" w:leftChars="0" w:right="0" w:rightChars="0"/>
              <w:textAlignment w:val="center"/>
              <w:rPr>
                <w:szCs w:val="21"/>
              </w:rPr>
            </w:pPr>
            <w:r>
              <w:rPr>
                <w:rFonts w:hint="eastAsia"/>
                <w:szCs w:val="21"/>
              </w:rPr>
              <w:t>1.加大火电、水泥、烧结砖瓦等行业落后产能淘汰和过剩产能压减力度，支持有色、煤炭、建材等传统产业企业加强技术创新、完善工艺流程，促进工业技改投资，推动传统产业行业深度治理和绿色低碳升级改造，实施减污降碳协同治理。巩固提升“散乱污”工业企业治理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pStyle w:val="2"/>
              <w:ind w:left="0" w:leftChars="0" w:firstLine="0"/>
              <w:jc w:val="center"/>
            </w:pPr>
          </w:p>
        </w:tc>
        <w:tc>
          <w:tcPr>
            <w:tcW w:w="1121" w:type="dxa"/>
            <w:vMerge w:val="continue"/>
            <w:vAlign w:val="center"/>
          </w:tcPr>
          <w:p>
            <w:pPr>
              <w:widowControl/>
              <w:ind w:left="0" w:leftChars="0" w:right="0" w:rightChars="0"/>
              <w:jc w:val="center"/>
              <w:textAlignment w:val="cente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rFonts w:hint="eastAsia"/>
                <w:szCs w:val="21"/>
              </w:rPr>
              <w:t>污染物排放管控</w:t>
            </w:r>
          </w:p>
        </w:tc>
        <w:tc>
          <w:tcPr>
            <w:tcW w:w="5684" w:type="dxa"/>
            <w:vAlign w:val="center"/>
          </w:tcPr>
          <w:p>
            <w:pPr>
              <w:widowControl/>
              <w:ind w:left="0" w:leftChars="0" w:right="0" w:rightChars="0"/>
              <w:textAlignment w:val="center"/>
              <w:rPr>
                <w:szCs w:val="21"/>
              </w:rPr>
            </w:pPr>
            <w:r>
              <w:rPr>
                <w:rFonts w:hint="eastAsia"/>
                <w:szCs w:val="21"/>
              </w:rPr>
              <w:t>1.严格落实污染物排放总量控制制度，把主要污染物排放总量指标作为环评审批的前置条件。</w:t>
            </w:r>
          </w:p>
          <w:p>
            <w:pPr>
              <w:widowControl/>
              <w:ind w:left="0" w:leftChars="0" w:right="0" w:rightChars="0"/>
              <w:textAlignment w:val="center"/>
              <w:rPr>
                <w:szCs w:val="21"/>
              </w:rPr>
            </w:pPr>
            <w:r>
              <w:rPr>
                <w:rFonts w:hint="eastAsia"/>
                <w:szCs w:val="21"/>
              </w:rPr>
              <w:t>2.新建、改扩建项目执行重点污染物特别排放限值。现有项目通过提标升级改造，重点污染物逐步达到特别排放限值。</w:t>
            </w:r>
          </w:p>
          <w:p>
            <w:pPr>
              <w:widowControl/>
              <w:ind w:left="0" w:leftChars="0" w:right="0" w:rightChars="0"/>
              <w:textAlignment w:val="center"/>
              <w:rPr>
                <w:szCs w:val="21"/>
              </w:rPr>
            </w:pPr>
            <w:r>
              <w:rPr>
                <w:rFonts w:hint="eastAsia"/>
                <w:szCs w:val="21"/>
              </w:rPr>
              <w:t>3.强化工业企业无组织排放管理。对物料（含废渣）储存、装卸、破碎、运输、转移和工艺过程等无组织排放实施深度治理。</w:t>
            </w:r>
          </w:p>
          <w:p>
            <w:pPr>
              <w:widowControl/>
              <w:ind w:left="0" w:leftChars="0" w:right="0" w:rightChars="0"/>
              <w:textAlignment w:val="center"/>
              <w:rPr>
                <w:szCs w:val="21"/>
              </w:rPr>
            </w:pPr>
            <w:r>
              <w:rPr>
                <w:rFonts w:hint="eastAsia"/>
                <w:szCs w:val="21"/>
              </w:rPr>
              <w:t>4.状物料（含废渣）和易起尘的块状物料必须进行全封闭，密闭储存；其他块状物料必须入棚入仓或建设防风抑尘网，安装抑尘设施。</w:t>
            </w:r>
          </w:p>
          <w:p>
            <w:pPr>
              <w:widowControl/>
              <w:ind w:left="0" w:leftChars="0" w:right="0" w:rightChars="0"/>
              <w:textAlignment w:val="center"/>
              <w:rPr>
                <w:szCs w:val="21"/>
              </w:rPr>
            </w:pPr>
            <w:r>
              <w:rPr>
                <w:rFonts w:hint="eastAsia"/>
                <w:szCs w:val="21"/>
              </w:rPr>
              <w:t>5.所有粉煤灰、电石渣等固废堆场要严格落实抑尘措施。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pStyle w:val="2"/>
              <w:ind w:left="0" w:leftChars="0" w:firstLine="0"/>
              <w:jc w:val="center"/>
            </w:pPr>
          </w:p>
        </w:tc>
        <w:tc>
          <w:tcPr>
            <w:tcW w:w="1121" w:type="dxa"/>
            <w:vMerge w:val="continue"/>
            <w:vAlign w:val="center"/>
          </w:tcPr>
          <w:p>
            <w:pPr>
              <w:widowControl/>
              <w:ind w:left="0" w:leftChars="0" w:right="0" w:rightChars="0"/>
              <w:jc w:val="center"/>
              <w:textAlignment w:val="cente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rFonts w:hint="eastAsia"/>
                <w:szCs w:val="21"/>
              </w:rPr>
              <w:t>资源开发效率</w:t>
            </w:r>
          </w:p>
        </w:tc>
        <w:tc>
          <w:tcPr>
            <w:tcW w:w="5684" w:type="dxa"/>
            <w:vAlign w:val="center"/>
          </w:tcPr>
          <w:p>
            <w:pPr>
              <w:widowControl/>
              <w:ind w:left="0" w:leftChars="0" w:right="0" w:rightChars="0"/>
              <w:textAlignment w:val="center"/>
              <w:rPr>
                <w:szCs w:val="21"/>
              </w:rPr>
            </w:pPr>
            <w:r>
              <w:rPr>
                <w:rFonts w:hint="eastAsia"/>
                <w:szCs w:val="21"/>
              </w:rPr>
              <w:t>推进能耗强度和总量“双控”，狠抓工业领域节能管理。优化能源产业结构，逐步提高新能源装机比重，煤炭占能源消费总量比重逐年下降。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pStyle w:val="2"/>
              <w:ind w:left="0" w:leftChars="0" w:firstLine="0"/>
              <w:jc w:val="center"/>
              <w:rPr>
                <w:rFonts w:eastAsia="楷体"/>
                <w:sz w:val="20"/>
                <w:szCs w:val="20"/>
              </w:rPr>
            </w:pPr>
            <w:r>
              <w:rPr>
                <w:rFonts w:hint="eastAsia"/>
              </w:rPr>
              <w:t>ZH15070220006</w:t>
            </w:r>
          </w:p>
        </w:tc>
        <w:tc>
          <w:tcPr>
            <w:tcW w:w="1121" w:type="dxa"/>
            <w:vMerge w:val="restart"/>
            <w:vAlign w:val="center"/>
          </w:tcPr>
          <w:p>
            <w:pPr>
              <w:widowControl/>
              <w:ind w:left="0" w:leftChars="0" w:right="0" w:rightChars="0"/>
              <w:jc w:val="center"/>
              <w:textAlignment w:val="center"/>
              <w:rPr>
                <w:szCs w:val="21"/>
              </w:rPr>
            </w:pPr>
            <w:r>
              <w:rPr>
                <w:rFonts w:hint="eastAsia"/>
              </w:rPr>
              <w:t>大雁矿区</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widowControl/>
              <w:ind w:left="0" w:leftChars="0" w:right="0" w:rightChars="0"/>
              <w:textAlignment w:val="cente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widowControl/>
              <w:ind w:left="0" w:leftChars="0" w:right="0" w:rightChars="0"/>
              <w:jc w:val="center"/>
              <w:textAlignment w:val="center"/>
              <w:rPr>
                <w:szCs w:val="21"/>
              </w:rPr>
            </w:pPr>
            <w:r>
              <w:rPr>
                <w:rFonts w:hint="eastAsia"/>
                <w:szCs w:val="21"/>
              </w:rPr>
              <w:t>ZH15070220007</w:t>
            </w:r>
          </w:p>
        </w:tc>
        <w:tc>
          <w:tcPr>
            <w:tcW w:w="1121" w:type="dxa"/>
            <w:vMerge w:val="restart"/>
            <w:vAlign w:val="center"/>
          </w:tcPr>
          <w:p>
            <w:pPr>
              <w:widowControl/>
              <w:ind w:left="0" w:leftChars="0" w:right="0" w:rightChars="0"/>
              <w:jc w:val="center"/>
              <w:textAlignment w:val="center"/>
              <w:rPr>
                <w:szCs w:val="21"/>
              </w:rPr>
            </w:pPr>
            <w:r>
              <w:rPr>
                <w:szCs w:val="21"/>
              </w:rPr>
              <w:t>海拉尔区非金属矿</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textAlignment w:val="cente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widowControl/>
              <w:ind w:left="0" w:leftChars="0" w:right="0" w:rightChars="0"/>
              <w:jc w:val="center"/>
              <w:textAlignment w:val="center"/>
              <w:rPr>
                <w:szCs w:val="21"/>
              </w:rPr>
            </w:pPr>
            <w:r>
              <w:rPr>
                <w:rFonts w:hint="eastAsia"/>
                <w:szCs w:val="21"/>
              </w:rPr>
              <w:t>ZH15070220008</w:t>
            </w:r>
          </w:p>
        </w:tc>
        <w:tc>
          <w:tcPr>
            <w:tcW w:w="1121" w:type="dxa"/>
            <w:vMerge w:val="restart"/>
            <w:vAlign w:val="center"/>
          </w:tcPr>
          <w:p>
            <w:pPr>
              <w:widowControl/>
              <w:ind w:left="0" w:leftChars="0" w:right="0" w:rightChars="0"/>
              <w:jc w:val="center"/>
              <w:textAlignment w:val="center"/>
              <w:rPr>
                <w:szCs w:val="21"/>
              </w:rPr>
            </w:pPr>
            <w:r>
              <w:rPr>
                <w:szCs w:val="21"/>
              </w:rPr>
              <w:t>海拉尔区金属矿</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textAlignment w:val="cente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pPr>
            <w:r>
              <w:t>2.生产矿山年度占用土地面积与年度治理面积基本达到平衡，“三废”排放符合环保指标要求。</w:t>
            </w:r>
          </w:p>
          <w:p>
            <w:pPr>
              <w:widowControl/>
              <w:ind w:left="0" w:leftChars="0" w:right="0" w:rightChars="0"/>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widowControl/>
              <w:ind w:left="0" w:leftChars="0" w:right="0" w:rightChars="0"/>
              <w:jc w:val="center"/>
              <w:textAlignment w:val="bottom"/>
              <w:rPr>
                <w:szCs w:val="21"/>
              </w:rPr>
            </w:pPr>
            <w:r>
              <w:rPr>
                <w:rFonts w:hint="eastAsia"/>
                <w:kern w:val="0"/>
                <w:szCs w:val="21"/>
                <w:lang w:bidi="ar"/>
              </w:rPr>
              <w:t>ZH15070220009</w:t>
            </w:r>
          </w:p>
        </w:tc>
        <w:tc>
          <w:tcPr>
            <w:tcW w:w="1121" w:type="dxa"/>
            <w:vMerge w:val="restart"/>
            <w:vAlign w:val="center"/>
          </w:tcPr>
          <w:p>
            <w:pPr>
              <w:widowControl/>
              <w:ind w:left="0" w:leftChars="0" w:right="0" w:rightChars="0"/>
              <w:jc w:val="center"/>
              <w:textAlignment w:val="bottom"/>
              <w:rPr>
                <w:szCs w:val="21"/>
              </w:rPr>
            </w:pPr>
            <w:r>
              <w:rPr>
                <w:kern w:val="0"/>
                <w:szCs w:val="21"/>
                <w:lang w:bidi="ar"/>
              </w:rPr>
              <w:t>海拉尔区煤矿</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widowControl/>
              <w:ind w:left="0" w:leftChars="0" w:right="0" w:rightChars="0"/>
              <w:textAlignment w:val="center"/>
            </w:pPr>
            <w:r>
              <w:rPr>
                <w:rFonts w:hint="eastAsia"/>
              </w:rPr>
              <w:t>6</w:t>
            </w:r>
            <w:r>
              <w:t>.执行《内蒙古自治区矿产资源总体规划（2016~2020）》</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pPr>
            <w:r>
              <w:t>2.加强采矿引起的滑坡、塌陷等次生地质灾害的防范和治理，及时回填废弃巷道和采空区，要充分利用采矿疏干排出的地下水，最大限度的维持矿区生态平衡。</w:t>
            </w:r>
          </w:p>
          <w:p>
            <w:pPr>
              <w:pStyle w:val="2"/>
              <w:ind w:left="0" w:leftChars="0" w:firstLine="0"/>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restart"/>
            <w:vAlign w:val="center"/>
          </w:tcPr>
          <w:p>
            <w:pPr>
              <w:widowControl/>
              <w:ind w:left="0" w:leftChars="0" w:right="0" w:rightChars="0"/>
              <w:jc w:val="center"/>
              <w:textAlignment w:val="center"/>
              <w:rPr>
                <w:szCs w:val="21"/>
              </w:rPr>
            </w:pPr>
            <w:r>
              <w:rPr>
                <w:szCs w:val="21"/>
              </w:rPr>
              <w:t>ZH15070220005</w:t>
            </w:r>
          </w:p>
        </w:tc>
        <w:tc>
          <w:tcPr>
            <w:tcW w:w="1121" w:type="dxa"/>
            <w:vMerge w:val="restart"/>
            <w:vAlign w:val="center"/>
          </w:tcPr>
          <w:p>
            <w:pPr>
              <w:widowControl/>
              <w:ind w:left="0" w:leftChars="0" w:right="0" w:rightChars="0"/>
              <w:jc w:val="center"/>
              <w:textAlignment w:val="center"/>
              <w:rPr>
                <w:szCs w:val="21"/>
              </w:rPr>
            </w:pPr>
            <w:r>
              <w:rPr>
                <w:kern w:val="0"/>
                <w:szCs w:val="21"/>
                <w:lang w:bidi="ar"/>
              </w:rPr>
              <w:t>呼伦贝尔经济技术开发区海拉尔产业园</w:t>
            </w:r>
          </w:p>
        </w:tc>
        <w:tc>
          <w:tcPr>
            <w:tcW w:w="923" w:type="dxa"/>
            <w:vMerge w:val="restart"/>
            <w:vAlign w:val="center"/>
          </w:tcPr>
          <w:p>
            <w:pPr>
              <w:widowControl/>
              <w:ind w:left="0" w:leftChars="0" w:right="0" w:rightChars="0"/>
              <w:jc w:val="center"/>
              <w:rPr>
                <w:szCs w:val="21"/>
              </w:rPr>
            </w:pPr>
            <w:r>
              <w:rPr>
                <w:szCs w:val="21"/>
              </w:rPr>
              <w:t>重点管控单元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ind w:left="0" w:leftChars="0" w:right="0" w:rightChars="0"/>
              <w:rPr>
                <w:kern w:val="0"/>
                <w:szCs w:val="21"/>
                <w:lang w:bidi="ar"/>
              </w:rPr>
            </w:pPr>
            <w:r>
              <w:rPr>
                <w:kern w:val="0"/>
                <w:szCs w:val="21"/>
                <w:lang w:bidi="ar"/>
              </w:rPr>
              <w:t>1.国家明令淘汰的落后产能和不符合国家产业政策的项目，严禁向工业园区转移。</w:t>
            </w:r>
          </w:p>
          <w:p>
            <w:pPr>
              <w:pStyle w:val="2"/>
              <w:ind w:left="0" w:leftChars="0" w:right="0" w:rightChars="0" w:firstLine="0"/>
              <w:rPr>
                <w:kern w:val="0"/>
                <w:szCs w:val="21"/>
                <w:lang w:bidi="ar"/>
              </w:rPr>
            </w:pPr>
            <w:r>
              <w:rPr>
                <w:kern w:val="0"/>
                <w:szCs w:val="21"/>
                <w:lang w:bidi="ar"/>
              </w:rPr>
              <w:t>2.严格按照产业定位管理入驻企业。禁止引进煤化工、有色冶炼初级产品等重污染项目，以及异味影响严重的发酵类项目。</w:t>
            </w:r>
          </w:p>
          <w:p>
            <w:pPr>
              <w:pStyle w:val="2"/>
              <w:ind w:left="0" w:leftChars="0" w:right="0" w:rightChars="0" w:firstLine="0"/>
              <w:rPr>
                <w:kern w:val="0"/>
                <w:szCs w:val="21"/>
                <w:lang w:bidi="ar"/>
              </w:rPr>
            </w:pPr>
            <w:r>
              <w:rPr>
                <w:kern w:val="0"/>
                <w:szCs w:val="21"/>
                <w:lang w:bidi="ar"/>
              </w:rPr>
              <w:t>3.园区各产业区与中心城区、居民区、地表水体及其他环境敏感区之间应设置合理的防护隔离区，有效防范环境污染和事故风险，确保区域生态安全。</w:t>
            </w:r>
          </w:p>
          <w:p>
            <w:pPr>
              <w:widowControl/>
              <w:ind w:left="0" w:leftChars="0" w:right="0" w:rightChars="0"/>
              <w:textAlignment w:val="center"/>
            </w:pPr>
            <w:r>
              <w:rPr>
                <w:kern w:val="0"/>
                <w:szCs w:val="21"/>
                <w:lang w:bidi="ar"/>
              </w:rPr>
              <w:t>4.园区内一律不得新建晾晒池、蒸发塘。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ind w:left="0" w:leftChars="0" w:right="0" w:rightChars="0"/>
              <w:textAlignment w:val="center"/>
              <w:rPr>
                <w:kern w:val="0"/>
                <w:szCs w:val="21"/>
                <w:lang w:bidi="ar"/>
              </w:rPr>
            </w:pPr>
            <w:r>
              <w:rPr>
                <w:kern w:val="0"/>
                <w:szCs w:val="21"/>
                <w:lang w:bidi="ar"/>
              </w:rPr>
              <w:t>1.加大分散燃煤小锅炉淘汰力度，加快集中供热及配套管网建设进度。鼓励因地制宜利用天然气、太阳能、工业余热等清洁能源实现集中供热、供汽。</w:t>
            </w:r>
          </w:p>
          <w:p>
            <w:pPr>
              <w:ind w:left="0" w:leftChars="0" w:right="0" w:rightChars="0"/>
              <w:textAlignment w:val="center"/>
              <w:rPr>
                <w:lang w:bidi="ar"/>
              </w:rPr>
            </w:pPr>
            <w:r>
              <w:rPr>
                <w:lang w:bidi="ar"/>
              </w:rPr>
              <w:t>2.化工企业应建设有毒及恶臭气体收集、处理和应急处置设施，尽快实施技术升级改造，减少挥发性有机污染物（VOCs）的泄漏排放。重点行业粉状物料堆场实现全封闭，块状物料安装抑尘设施。</w:t>
            </w:r>
          </w:p>
          <w:p>
            <w:pPr>
              <w:widowControl/>
              <w:ind w:left="0" w:leftChars="0" w:right="0" w:rightChars="0"/>
              <w:textAlignment w:val="center"/>
            </w:pPr>
            <w:r>
              <w:rPr>
                <w:kern w:val="0"/>
                <w:szCs w:val="21"/>
                <w:lang w:bidi="ar"/>
              </w:rPr>
              <w:t>3.新建排放重金属污染物的建设项目全面执行重金属重点污染物特别排放限值。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ind w:left="0" w:leftChars="0" w:right="0" w:rightChars="0"/>
              <w:textAlignment w:val="center"/>
            </w:pPr>
            <w:r>
              <w:rPr>
                <w:kern w:val="0"/>
                <w:szCs w:val="21"/>
                <w:lang w:bidi="ar"/>
              </w:rPr>
              <w:t>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Merge w:val="continue"/>
            <w:vAlign w:val="center"/>
          </w:tcPr>
          <w:p>
            <w:pPr>
              <w:widowControl/>
              <w:ind w:left="0" w:leftChars="0" w:right="0" w:rightChars="0"/>
              <w:jc w:val="center"/>
              <w:textAlignment w:val="center"/>
              <w:rPr>
                <w:szCs w:val="21"/>
              </w:rPr>
            </w:pPr>
          </w:p>
        </w:tc>
        <w:tc>
          <w:tcPr>
            <w:tcW w:w="1121" w:type="dxa"/>
            <w:vMerge w:val="continue"/>
            <w:vAlign w:val="center"/>
          </w:tcPr>
          <w:p>
            <w:pPr>
              <w:widowControl/>
              <w:ind w:left="0" w:leftChars="0" w:right="0" w:rightChars="0"/>
              <w:jc w:val="center"/>
              <w:textAlignment w:val="center"/>
              <w:rPr>
                <w:szCs w:val="21"/>
              </w:rPr>
            </w:pPr>
          </w:p>
        </w:tc>
        <w:tc>
          <w:tcPr>
            <w:tcW w:w="923" w:type="dxa"/>
            <w:vMerge w:val="continue"/>
            <w:vAlign w:val="center"/>
          </w:tcPr>
          <w:p>
            <w:pPr>
              <w:widowControl/>
              <w:ind w:left="0" w:leftChars="0" w:right="0" w:rightChars="0"/>
              <w:jc w:val="center"/>
              <w:rPr>
                <w:szCs w:val="21"/>
              </w:rPr>
            </w:pPr>
          </w:p>
        </w:tc>
        <w:tc>
          <w:tcPr>
            <w:tcW w:w="71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ind w:left="0" w:leftChars="0" w:right="0" w:rightChars="0"/>
              <w:textAlignment w:val="center"/>
              <w:rPr>
                <w:kern w:val="0"/>
                <w:szCs w:val="21"/>
                <w:lang w:bidi="ar"/>
              </w:rPr>
            </w:pPr>
            <w:r>
              <w:rPr>
                <w:kern w:val="0"/>
                <w:szCs w:val="21"/>
                <w:lang w:bidi="ar"/>
              </w:rPr>
              <w:t>1.限制高耗能企业入区。</w:t>
            </w:r>
          </w:p>
          <w:p>
            <w:pPr>
              <w:ind w:left="0" w:leftChars="0" w:right="0" w:rightChars="0"/>
              <w:textAlignment w:val="center"/>
            </w:pPr>
            <w:r>
              <w:rPr>
                <w:szCs w:val="22"/>
              </w:rPr>
              <w:t>2.新、改、扩建的高耗水工业项目，禁止擅自使用地下水。优先配置</w:t>
            </w:r>
            <w:r>
              <w:t>利用中水和疏干水等作为生产水源；具备使用非常规水源条件的园区，限期关闭企业生产用地下水自备水井。</w:t>
            </w:r>
          </w:p>
          <w:p>
            <w:pPr>
              <w:widowControl/>
              <w:ind w:left="0" w:leftChars="0" w:right="0" w:rightChars="0"/>
              <w:textAlignment w:val="center"/>
            </w:pPr>
            <w:r>
              <w:t>3.实行地下水取用水总量控制和水位控制制度。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1" w:type="dxa"/>
            <w:vAlign w:val="center"/>
          </w:tcPr>
          <w:p>
            <w:pPr>
              <w:widowControl/>
              <w:ind w:left="0" w:leftChars="0" w:right="0" w:rightChars="0"/>
              <w:jc w:val="center"/>
              <w:rPr>
                <w:kern w:val="0"/>
                <w:szCs w:val="21"/>
                <w:lang w:bidi="ar"/>
              </w:rPr>
            </w:pPr>
            <w:bookmarkStart w:id="36" w:name="_Hlk84621695"/>
            <w:bookmarkStart w:id="37" w:name="_Hlk84622263"/>
            <w:r>
              <w:rPr>
                <w:kern w:val="0"/>
                <w:szCs w:val="21"/>
                <w:lang w:bidi="ar"/>
              </w:rPr>
              <w:t>ZH15070230001</w:t>
            </w:r>
          </w:p>
        </w:tc>
        <w:tc>
          <w:tcPr>
            <w:tcW w:w="1121" w:type="dxa"/>
            <w:vAlign w:val="center"/>
          </w:tcPr>
          <w:p>
            <w:pPr>
              <w:widowControl/>
              <w:ind w:left="0" w:leftChars="0" w:right="0" w:rightChars="0"/>
              <w:jc w:val="center"/>
              <w:rPr>
                <w:kern w:val="0"/>
                <w:szCs w:val="21"/>
                <w:lang w:bidi="ar"/>
              </w:rPr>
            </w:pPr>
            <w:r>
              <w:rPr>
                <w:kern w:val="0"/>
                <w:szCs w:val="21"/>
                <w:lang w:bidi="ar"/>
              </w:rPr>
              <w:t>海拉尔区一般管控单元</w:t>
            </w:r>
          </w:p>
        </w:tc>
        <w:tc>
          <w:tcPr>
            <w:tcW w:w="923" w:type="dxa"/>
            <w:vAlign w:val="center"/>
          </w:tcPr>
          <w:p>
            <w:pPr>
              <w:widowControl/>
              <w:ind w:left="0" w:leftChars="0" w:right="0" w:rightChars="0"/>
              <w:jc w:val="center"/>
              <w:rPr>
                <w:szCs w:val="21"/>
              </w:rPr>
            </w:pPr>
            <w:r>
              <w:rPr>
                <w:szCs w:val="21"/>
              </w:rPr>
              <w:t>一般管控单元</w:t>
            </w:r>
          </w:p>
        </w:tc>
        <w:tc>
          <w:tcPr>
            <w:tcW w:w="71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ind w:left="0" w:leftChars="0" w:right="0" w:rightChars="0"/>
              <w:textAlignment w:val="center"/>
              <w:rPr>
                <w:kern w:val="0"/>
                <w:szCs w:val="21"/>
                <w:lang w:bidi="ar"/>
              </w:rPr>
            </w:pPr>
            <w:r>
              <w:rPr>
                <w:kern w:val="0"/>
                <w:szCs w:val="21"/>
                <w:lang w:bidi="ar"/>
              </w:rPr>
              <w:t>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w:t>
            </w:r>
          </w:p>
          <w:p>
            <w:pPr>
              <w:ind w:left="0" w:leftChars="0" w:right="0" w:rightChars="0"/>
              <w:textAlignment w:val="center"/>
              <w:rPr>
                <w:szCs w:val="21"/>
              </w:rPr>
            </w:pPr>
            <w:r>
              <w:rPr>
                <w:kern w:val="0"/>
                <w:szCs w:val="21"/>
                <w:lang w:bidi="ar"/>
              </w:rPr>
              <w:t xml:space="preserve">2.在永久基本农田集中区域，不得新建可能造成土壤污染的建设项目；已经建成的，应当限期关闭拆除。 </w:t>
            </w:r>
          </w:p>
        </w:tc>
      </w:tr>
      <w:bookmarkEnd w:id="36"/>
      <w:bookmarkEnd w:id="37"/>
    </w:tbl>
    <w:p>
      <w:pPr>
        <w:pStyle w:val="4"/>
        <w:ind w:left="0" w:leftChars="0" w:right="0" w:rightChars="0"/>
        <w:rPr>
          <w:rFonts w:ascii="Times New Roman" w:hAnsi="Times New Roman"/>
        </w:rPr>
        <w:sectPr>
          <w:footerReference r:id="rId7" w:type="default"/>
          <w:pgSz w:w="16838" w:h="11906" w:orient="landscape"/>
          <w:pgMar w:top="1800" w:right="1440" w:bottom="1800" w:left="1440" w:header="851" w:footer="992" w:gutter="0"/>
          <w:pgNumType w:start="1"/>
          <w:cols w:space="425" w:num="1"/>
          <w:docGrid w:type="lines" w:linePitch="312" w:charSpace="0"/>
        </w:sectPr>
      </w:pPr>
      <w:bookmarkStart w:id="38" w:name="_Toc5034"/>
      <w:bookmarkStart w:id="39" w:name="_Toc77608249"/>
      <w:bookmarkStart w:id="40" w:name="_Toc10291"/>
      <w:bookmarkStart w:id="41" w:name="_Toc5715"/>
    </w:p>
    <w:p>
      <w:pPr>
        <w:pStyle w:val="4"/>
        <w:ind w:left="0" w:leftChars="0" w:right="0" w:rightChars="0"/>
        <w:rPr>
          <w:rFonts w:ascii="Times New Roman" w:hAnsi="Times New Roman" w:eastAsia="仿宋_GB2312"/>
        </w:rPr>
      </w:pPr>
      <w:bookmarkStart w:id="42" w:name="_Toc142233278"/>
      <w:r>
        <w:rPr>
          <w:rFonts w:ascii="Times New Roman" w:hAnsi="Times New Roman" w:eastAsia="仿宋_GB2312"/>
        </w:rPr>
        <w:t>（二）呼伦贝尔市满洲里市生态环境准入清单</w:t>
      </w:r>
      <w:bookmarkEnd w:id="42"/>
    </w:p>
    <w:p>
      <w:pPr>
        <w:ind w:left="0" w:leftChars="0" w:right="0" w:rightChars="0"/>
        <w:jc w:val="center"/>
        <w:rPr>
          <w:b/>
          <w:bCs/>
          <w:sz w:val="28"/>
          <w:szCs w:val="28"/>
        </w:rPr>
      </w:pPr>
      <w:r>
        <w:rPr>
          <w:b/>
          <w:bCs/>
          <w:sz w:val="28"/>
          <w:szCs w:val="28"/>
        </w:rPr>
        <w:t>表2呼伦贝尔市满洲里市生态环境准入清单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9"/>
        <w:gridCol w:w="1609"/>
        <w:gridCol w:w="1468"/>
        <w:gridCol w:w="1019"/>
        <w:gridCol w:w="8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080" w:type="dxa"/>
            <w:vAlign w:val="center"/>
          </w:tcPr>
          <w:p>
            <w:pPr>
              <w:widowControl/>
              <w:ind w:left="0" w:leftChars="0" w:right="0" w:rightChars="0"/>
              <w:jc w:val="center"/>
              <w:rPr>
                <w:b/>
                <w:bCs/>
                <w:szCs w:val="21"/>
              </w:rPr>
            </w:pPr>
            <w:r>
              <w:rPr>
                <w:b/>
                <w:bCs/>
                <w:szCs w:val="21"/>
              </w:rPr>
              <w:t>环境管控单元名称</w:t>
            </w:r>
          </w:p>
        </w:tc>
        <w:tc>
          <w:tcPr>
            <w:tcW w:w="985" w:type="dxa"/>
            <w:vAlign w:val="center"/>
          </w:tcPr>
          <w:p>
            <w:pPr>
              <w:widowControl/>
              <w:ind w:left="0" w:leftChars="0" w:right="0" w:rightChars="0"/>
              <w:jc w:val="center"/>
              <w:rPr>
                <w:b/>
                <w:bCs/>
                <w:szCs w:val="21"/>
              </w:rPr>
            </w:pPr>
            <w:r>
              <w:rPr>
                <w:b/>
                <w:bCs/>
                <w:szCs w:val="21"/>
              </w:rPr>
              <w:t>管控单元类别</w:t>
            </w:r>
          </w:p>
        </w:tc>
        <w:tc>
          <w:tcPr>
            <w:tcW w:w="6375"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jc w:val="center"/>
              <w:textAlignment w:val="bottom"/>
              <w:rPr>
                <w:rFonts w:eastAsia="楷体"/>
                <w:sz w:val="20"/>
                <w:szCs w:val="20"/>
              </w:rPr>
            </w:pPr>
            <w:r>
              <w:rPr>
                <w:rFonts w:hint="eastAsia" w:eastAsia="楷体"/>
                <w:kern w:val="0"/>
                <w:szCs w:val="21"/>
                <w:lang w:bidi="ar"/>
              </w:rPr>
              <w:t>ZH15078110001</w:t>
            </w:r>
          </w:p>
        </w:tc>
        <w:tc>
          <w:tcPr>
            <w:tcW w:w="1080" w:type="dxa"/>
            <w:vAlign w:val="center"/>
          </w:tcPr>
          <w:p>
            <w:pPr>
              <w:widowControl/>
              <w:ind w:left="0" w:leftChars="0" w:right="0" w:rightChars="0"/>
              <w:jc w:val="center"/>
              <w:rPr>
                <w:szCs w:val="21"/>
              </w:rPr>
            </w:pPr>
            <w:r>
              <w:rPr>
                <w:szCs w:val="21"/>
              </w:rPr>
              <w:t>内蒙古满洲里二卡国家湿地公园</w:t>
            </w:r>
          </w:p>
        </w:tc>
        <w:tc>
          <w:tcPr>
            <w:tcW w:w="985" w:type="dxa"/>
            <w:vAlign w:val="center"/>
          </w:tcPr>
          <w:p>
            <w:pPr>
              <w:widowControl/>
              <w:ind w:left="0" w:leftChars="0" w:right="0" w:rightChars="0"/>
              <w:jc w:val="center"/>
              <w:rPr>
                <w:szCs w:val="21"/>
              </w:rPr>
            </w:pPr>
            <w:r>
              <w:rPr>
                <w:szCs w:val="21"/>
              </w:rPr>
              <w:t>优先保护单元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1" w:type="dxa"/>
            <w:vAlign w:val="center"/>
          </w:tcPr>
          <w:p>
            <w:pPr>
              <w:ind w:left="0" w:leftChars="0" w:right="0" w:rightChars="0"/>
              <w:textAlignment w:val="center"/>
              <w:rPr>
                <w:kern w:val="0"/>
                <w:szCs w:val="21"/>
                <w:lang w:bidi="ar"/>
              </w:rPr>
            </w:pPr>
            <w:r>
              <w:rPr>
                <w:kern w:val="0"/>
                <w:szCs w:val="21"/>
                <w:lang w:bidi="ar"/>
              </w:rPr>
              <w:t>1.</w:t>
            </w:r>
            <w:r>
              <w:rPr>
                <w:rFonts w:hint="eastAsia"/>
                <w:kern w:val="0"/>
                <w:szCs w:val="21"/>
                <w:lang w:bidi="ar"/>
              </w:rPr>
              <w:t>除法律法规有特别规定的以外，</w:t>
            </w:r>
            <w:r>
              <w:rPr>
                <w:kern w:val="0"/>
                <w:szCs w:val="21"/>
                <w:lang w:bidi="ar"/>
              </w:rP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ind w:left="0" w:leftChars="0" w:right="0" w:rightChars="0"/>
              <w:textAlignment w:val="center"/>
              <w:rPr>
                <w:kern w:val="0"/>
                <w:szCs w:val="21"/>
                <w:lang w:bidi="ar"/>
              </w:rPr>
            </w:pPr>
            <w:r>
              <w:rPr>
                <w:kern w:val="0"/>
                <w:szCs w:val="21"/>
                <w:lang w:bidi="ar"/>
              </w:rP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ind w:left="0" w:leftChars="0" w:right="0" w:rightChars="0"/>
              <w:textAlignment w:val="center"/>
              <w:rPr>
                <w:kern w:val="0"/>
                <w:szCs w:val="21"/>
                <w:lang w:bidi="ar"/>
              </w:rPr>
            </w:pPr>
            <w:r>
              <w:rPr>
                <w:kern w:val="0"/>
                <w:szCs w:val="21"/>
                <w:lang w:bidi="ar"/>
              </w:rPr>
              <w:t>3.湿地公园内的建设和活动，必须符合总体规划的要求；</w:t>
            </w:r>
          </w:p>
          <w:p>
            <w:pPr>
              <w:ind w:left="0" w:leftChars="0" w:right="0" w:rightChars="0"/>
              <w:textAlignment w:val="center"/>
              <w:rPr>
                <w:kern w:val="0"/>
                <w:szCs w:val="21"/>
                <w:lang w:bidi="ar"/>
              </w:rPr>
            </w:pPr>
            <w:r>
              <w:rPr>
                <w:rFonts w:hint="eastAsia"/>
                <w:kern w:val="0"/>
                <w:szCs w:val="21"/>
                <w:lang w:bidi="ar"/>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rPr>
                <w:kern w:val="0"/>
                <w:szCs w:val="21"/>
                <w:lang w:bidi="ar"/>
              </w:rPr>
              <w:t>。</w:t>
            </w:r>
          </w:p>
          <w:p>
            <w:pPr>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jc w:val="center"/>
              <w:textAlignment w:val="bottom"/>
              <w:rPr>
                <w:rFonts w:eastAsia="楷体"/>
                <w:kern w:val="0"/>
                <w:szCs w:val="21"/>
                <w:lang w:bidi="ar"/>
              </w:rPr>
            </w:pPr>
            <w:r>
              <w:rPr>
                <w:rFonts w:hint="eastAsia"/>
                <w:szCs w:val="21"/>
              </w:rPr>
              <w:t>ZH15078110002</w:t>
            </w:r>
          </w:p>
        </w:tc>
        <w:tc>
          <w:tcPr>
            <w:tcW w:w="1080" w:type="dxa"/>
            <w:vAlign w:val="center"/>
          </w:tcPr>
          <w:p>
            <w:pPr>
              <w:widowControl/>
              <w:ind w:left="0" w:leftChars="0" w:right="0" w:rightChars="0"/>
              <w:jc w:val="center"/>
              <w:rPr>
                <w:szCs w:val="21"/>
              </w:rPr>
            </w:pPr>
            <w:r>
              <w:rPr>
                <w:rFonts w:hint="eastAsia"/>
                <w:szCs w:val="21"/>
              </w:rPr>
              <w:t>满洲里市生物多样性维护生态功能重要区域</w:t>
            </w:r>
          </w:p>
        </w:tc>
        <w:tc>
          <w:tcPr>
            <w:tcW w:w="985" w:type="dxa"/>
            <w:vAlign w:val="center"/>
          </w:tcPr>
          <w:p>
            <w:pPr>
              <w:widowControl/>
              <w:ind w:left="0" w:leftChars="0" w:right="0" w:rightChars="0"/>
              <w:jc w:val="center"/>
              <w:rPr>
                <w:szCs w:val="21"/>
              </w:rPr>
            </w:pPr>
            <w:r>
              <w:rPr>
                <w:szCs w:val="21"/>
              </w:rPr>
              <w:t>优先保护单元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2.禁止生物多样性维护生态功能区的大规模水电开发和林纸一体化产业发展</w:t>
            </w:r>
            <w:r>
              <w:rPr>
                <w:rFonts w:hint="eastAsia"/>
              </w:rPr>
              <w:t>；</w:t>
            </w:r>
          </w:p>
          <w:p>
            <w:pPr>
              <w:widowControl/>
              <w:ind w:left="0" w:leftChars="0" w:right="0" w:rightChars="0"/>
              <w:textAlignment w:val="center"/>
            </w:pPr>
            <w:r>
              <w:rPr>
                <w:rFonts w:hint="eastAsia"/>
              </w:rPr>
              <w:t>3.</w:t>
            </w:r>
            <w:r>
              <w:rPr>
                <w:szCs w:val="21"/>
              </w:rPr>
              <w:t>满洲里市生物多样性维护</w:t>
            </w:r>
            <w:r>
              <w:rPr>
                <w:rFonts w:hint="eastAsia"/>
              </w:rPr>
              <w:t>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jc w:val="center"/>
              <w:textAlignment w:val="bottom"/>
              <w:rPr>
                <w:rFonts w:eastAsia="楷体"/>
                <w:sz w:val="20"/>
                <w:szCs w:val="20"/>
              </w:rPr>
            </w:pPr>
            <w:r>
              <w:rPr>
                <w:rFonts w:hint="eastAsia" w:eastAsia="楷体"/>
                <w:sz w:val="20"/>
                <w:szCs w:val="20"/>
              </w:rPr>
              <w:t>ZH15078110003</w:t>
            </w:r>
          </w:p>
        </w:tc>
        <w:tc>
          <w:tcPr>
            <w:tcW w:w="1080" w:type="dxa"/>
            <w:vAlign w:val="center"/>
          </w:tcPr>
          <w:p>
            <w:pPr>
              <w:widowControl/>
              <w:ind w:left="0" w:leftChars="0" w:right="0" w:rightChars="0"/>
              <w:jc w:val="center"/>
              <w:rPr>
                <w:szCs w:val="21"/>
              </w:rPr>
            </w:pPr>
            <w:r>
              <w:rPr>
                <w:rFonts w:hint="eastAsia"/>
                <w:szCs w:val="21"/>
              </w:rPr>
              <w:t>内蒙古满洲里二卡国家湿地公园（满洲里第二水源地）</w:t>
            </w:r>
          </w:p>
        </w:tc>
        <w:tc>
          <w:tcPr>
            <w:tcW w:w="985" w:type="dxa"/>
            <w:vAlign w:val="center"/>
          </w:tcPr>
          <w:p>
            <w:pPr>
              <w:widowControl/>
              <w:ind w:left="0" w:leftChars="0" w:right="0" w:rightChars="0"/>
              <w:jc w:val="center"/>
              <w:rPr>
                <w:szCs w:val="21"/>
              </w:rPr>
            </w:pPr>
            <w:r>
              <w:rPr>
                <w:szCs w:val="21"/>
              </w:rPr>
              <w:t>优先保护单元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1" w:type="dxa"/>
            <w:vAlign w:val="center"/>
          </w:tcPr>
          <w:p>
            <w:pPr>
              <w:ind w:left="0" w:leftChars="0" w:right="0" w:rightChars="0"/>
              <w:textAlignment w:val="center"/>
              <w:rPr>
                <w:kern w:val="0"/>
                <w:szCs w:val="21"/>
                <w:lang w:bidi="ar"/>
              </w:rPr>
            </w:pPr>
            <w:r>
              <w:rPr>
                <w:kern w:val="0"/>
                <w:szCs w:val="21"/>
                <w:lang w:bidi="ar"/>
              </w:rPr>
              <w:t>1.</w:t>
            </w:r>
            <w:r>
              <w:rPr>
                <w:rFonts w:hint="eastAsia"/>
                <w:kern w:val="0"/>
                <w:szCs w:val="21"/>
                <w:lang w:bidi="ar"/>
              </w:rPr>
              <w:t>除</w:t>
            </w:r>
            <w:r>
              <w:rPr>
                <w:kern w:val="0"/>
                <w:szCs w:val="21"/>
                <w:lang w:bidi="ar"/>
              </w:rPr>
              <w:t>国家另有规定外，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ind w:left="0" w:leftChars="0" w:right="0" w:rightChars="0"/>
              <w:textAlignment w:val="center"/>
              <w:rPr>
                <w:kern w:val="0"/>
                <w:szCs w:val="21"/>
                <w:lang w:bidi="ar"/>
              </w:rPr>
            </w:pPr>
            <w:r>
              <w:rPr>
                <w:kern w:val="0"/>
                <w:szCs w:val="21"/>
                <w:lang w:bidi="ar"/>
              </w:rP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widowControl/>
              <w:ind w:left="0" w:leftChars="0" w:right="0" w:rightChars="0"/>
              <w:textAlignment w:val="center"/>
            </w:pPr>
            <w:r>
              <w:t>3.湿地公园内的建设和活动，必须符合总体规划的要求；</w:t>
            </w:r>
          </w:p>
          <w:p>
            <w:pPr>
              <w:widowControl/>
              <w:ind w:left="0" w:leftChars="0" w:right="0" w:rightChars="0"/>
              <w:textAlignment w:val="center"/>
            </w:pPr>
            <w:r>
              <w:rPr>
                <w:rFonts w:hint="eastAsia"/>
              </w:rPr>
              <w:t>4.在饮用水水源准保护区内，禁止下列行为：</w:t>
            </w:r>
          </w:p>
          <w:p>
            <w:pPr>
              <w:widowControl/>
              <w:ind w:left="0" w:leftChars="0" w:right="0" w:rightChars="0"/>
              <w:textAlignment w:val="center"/>
            </w:pPr>
            <w:r>
              <w:rPr>
                <w:rFonts w:hint="eastAsia"/>
              </w:rP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rPr>
                <w:rFonts w:hint="eastAsia"/>
              </w:rPr>
              <w:t>5.在饮用水水源二级保护区内，除饮用水水源准保护区内禁止的行为外，还禁止下列行为：</w:t>
            </w:r>
          </w:p>
          <w:p>
            <w:pPr>
              <w:widowControl/>
              <w:ind w:left="0" w:leftChars="0" w:right="0" w:rightChars="0"/>
              <w:textAlignment w:val="center"/>
            </w:pPr>
            <w:r>
              <w:rPr>
                <w:rFonts w:hint="eastAsia"/>
              </w:rP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rPr>
                <w:rFonts w:hint="eastAsia"/>
              </w:rPr>
              <w:t>6.在饮用水水源一级保护区内，除饮用水水源准保护区、二级保护区内禁止的行为外，还禁止下列行为：</w:t>
            </w:r>
          </w:p>
          <w:p>
            <w:pPr>
              <w:widowControl/>
              <w:ind w:left="0" w:leftChars="0" w:right="0" w:rightChars="0"/>
              <w:textAlignment w:val="center"/>
            </w:pPr>
            <w:r>
              <w:rPr>
                <w:rFonts w:hint="eastAsia"/>
              </w:rP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rPr>
                <w:rFonts w:hint="eastAsia"/>
              </w:rPr>
              <w:t>7.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rPr>
                <w:rFonts w:hint="eastAsia"/>
              </w:rPr>
              <w:t>8.在饮用水水源一级保护区内已建成的与供水设施和保护水源无关的建设项目，由旗县级以上人民政府责令拆除或者关闭。</w:t>
            </w:r>
          </w:p>
          <w:p>
            <w:pPr>
              <w:widowControl/>
              <w:ind w:left="0" w:leftChars="0" w:right="0" w:rightChars="0"/>
              <w:textAlignment w:val="center"/>
              <w:rPr>
                <w:kern w:val="0"/>
                <w:szCs w:val="21"/>
                <w:lang w:bidi="ar"/>
              </w:rPr>
            </w:pPr>
            <w:r>
              <w:rPr>
                <w:rFonts w:hint="eastAsia"/>
              </w:rPr>
              <w:t>9.在生态保护红线内的有限人为活动管理要求按照《自然资源部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ZH15078110004</w:t>
            </w:r>
          </w:p>
        </w:tc>
        <w:tc>
          <w:tcPr>
            <w:tcW w:w="1080" w:type="dxa"/>
            <w:vAlign w:val="center"/>
          </w:tcPr>
          <w:p>
            <w:pPr>
              <w:widowControl/>
              <w:ind w:left="0" w:leftChars="0" w:right="0" w:rightChars="0"/>
              <w:jc w:val="center"/>
              <w:rPr>
                <w:szCs w:val="21"/>
              </w:rPr>
            </w:pPr>
            <w:r>
              <w:rPr>
                <w:szCs w:val="21"/>
              </w:rPr>
              <w:t>内蒙古满洲里霍勒金布拉格国家湿地公园</w:t>
            </w:r>
          </w:p>
        </w:tc>
        <w:tc>
          <w:tcPr>
            <w:tcW w:w="985" w:type="dxa"/>
            <w:vAlign w:val="center"/>
          </w:tcPr>
          <w:p>
            <w:pPr>
              <w:widowControl/>
              <w:ind w:left="0" w:leftChars="0" w:right="0" w:rightChars="0"/>
              <w:jc w:val="center"/>
              <w:rPr>
                <w:szCs w:val="21"/>
              </w:rPr>
            </w:pPr>
            <w:r>
              <w:rPr>
                <w:szCs w:val="21"/>
              </w:rPr>
              <w:t>优先保护单元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pPr>
            <w:r>
              <w:t>1.</w:t>
            </w:r>
            <w:r>
              <w:rPr>
                <w:rFonts w:hint="eastAsia"/>
              </w:rPr>
              <w:t>除</w:t>
            </w:r>
            <w:r>
              <w:t>国家另有规定外，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widowControl/>
              <w:ind w:left="0" w:leftChars="0" w:right="0" w:rightChars="0"/>
              <w:textAlignment w:val="center"/>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ZH15078120001</w:t>
            </w:r>
          </w:p>
        </w:tc>
        <w:tc>
          <w:tcPr>
            <w:tcW w:w="1080" w:type="dxa"/>
            <w:vMerge w:val="restart"/>
            <w:vAlign w:val="center"/>
          </w:tcPr>
          <w:p>
            <w:pPr>
              <w:widowControl/>
              <w:ind w:left="0" w:leftChars="0" w:right="0" w:rightChars="0"/>
              <w:jc w:val="center"/>
              <w:rPr>
                <w:szCs w:val="21"/>
              </w:rPr>
            </w:pPr>
            <w:r>
              <w:rPr>
                <w:szCs w:val="21"/>
              </w:rPr>
              <w:t>满洲里市边境经济合作区国际物流产业园</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1" w:type="dxa"/>
            <w:vAlign w:val="center"/>
          </w:tcPr>
          <w:p>
            <w:pPr>
              <w:ind w:left="0" w:leftChars="0" w:right="0" w:rightChars="0"/>
              <w:rPr>
                <w:lang w:bidi="ar"/>
              </w:rPr>
            </w:pPr>
            <w:r>
              <w:rPr>
                <w:lang w:bidi="ar"/>
              </w:rPr>
              <w:t>1.</w:t>
            </w:r>
            <w:r>
              <w:t>清洁能源基础物流尽量布局在新国际货场区（西区）和新国际货场区（东区）西部，远离中俄边境线和城市规划居住区，防范火灾爆炸等环境事故风险。</w:t>
            </w:r>
          </w:p>
          <w:p>
            <w:pPr>
              <w:widowControl/>
              <w:ind w:left="0" w:leftChars="0" w:right="0" w:rightChars="0"/>
              <w:textAlignment w:val="center"/>
            </w:pPr>
            <w:r>
              <w:rPr>
                <w:lang w:bidi="ar"/>
              </w:rPr>
              <w:t>2.流通加工区内食品产业片区与其他产业片区间设置隔离带，防范相互污染干扰。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691" w:type="dxa"/>
            <w:vAlign w:val="center"/>
          </w:tcPr>
          <w:p>
            <w:pPr>
              <w:ind w:left="0" w:leftChars="0" w:right="0" w:rightChars="0"/>
              <w:rPr>
                <w:lang w:bidi="ar"/>
              </w:rPr>
            </w:pPr>
            <w:r>
              <w:rPr>
                <w:kern w:val="0"/>
                <w:szCs w:val="21"/>
                <w:lang w:bidi="ar"/>
              </w:rPr>
              <w:t>1.</w:t>
            </w:r>
            <w:r>
              <w:rPr>
                <w:lang w:bidi="ar"/>
              </w:rPr>
              <w:t>合理设置污水处理厂工艺及规模，加强固体废物管理，尽快落实集中供热，确保区域环境质量持续改善。</w:t>
            </w:r>
          </w:p>
          <w:p>
            <w:pPr>
              <w:ind w:left="0" w:leftChars="0" w:right="0" w:rightChars="0"/>
              <w:rPr>
                <w:lang w:bidi="ar"/>
              </w:rPr>
            </w:pPr>
            <w:r>
              <w:rPr>
                <w:lang w:bidi="ar"/>
              </w:rPr>
              <w:t>2.</w:t>
            </w:r>
            <w:r>
              <w:rPr>
                <w:rFonts w:hint="eastAsia"/>
                <w:lang w:bidi="ar"/>
              </w:rPr>
              <w:t>有粉尘污染的</w:t>
            </w:r>
            <w:r>
              <w:rPr>
                <w:lang w:bidi="ar"/>
              </w:rPr>
              <w:t>散货仓储物流应建设封闭仓库，防止扬粉尘污染。</w:t>
            </w:r>
          </w:p>
          <w:p>
            <w:pPr>
              <w:ind w:left="0" w:leftChars="0" w:right="0" w:rightChars="0"/>
              <w:rPr>
                <w:lang w:bidi="ar"/>
              </w:rPr>
            </w:pPr>
            <w:r>
              <w:rPr>
                <w:lang w:bidi="ar"/>
              </w:rPr>
              <w:t>3.新建进口粮油加工项目不再审批建设燃煤锅炉，全部采用燃气锅炉。</w:t>
            </w:r>
          </w:p>
          <w:p>
            <w:pPr>
              <w:widowControl/>
              <w:ind w:left="0" w:leftChars="0" w:right="0" w:rightChars="0"/>
              <w:textAlignment w:val="center"/>
            </w:pPr>
            <w:r>
              <w:t>4.运输应采用密闭皮带、封闭通廊、管状带式输送机或密闭车厢、真空罐车、气力输送等密闭输送方式；汽车、火车、皮带输送机等卸料点设置集气罩或密闭罩，并配备除尘设施；料场路面应实施硬化。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szCs w:val="21"/>
              </w:rPr>
              <w:t>环境风险防控</w:t>
            </w:r>
          </w:p>
        </w:tc>
        <w:tc>
          <w:tcPr>
            <w:tcW w:w="5691" w:type="dxa"/>
            <w:vAlign w:val="center"/>
          </w:tcPr>
          <w:p>
            <w:pPr>
              <w:ind w:left="0" w:leftChars="0" w:right="0" w:rightChars="0"/>
              <w:rPr>
                <w:szCs w:val="21"/>
              </w:rPr>
            </w:pPr>
            <w:r>
              <w:rPr>
                <w:kern w:val="0"/>
                <w:szCs w:val="21"/>
                <w:lang w:bidi="ar"/>
              </w:rPr>
              <w:t>1.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p>
            <w:pPr>
              <w:widowControl/>
              <w:ind w:left="0" w:leftChars="0" w:right="0" w:rightChars="0"/>
              <w:textAlignment w:val="center"/>
            </w:pPr>
            <w:r>
              <w:t>2.强化园区应急队伍、应急设备和物资储备等应急防控体系建设，加强人员应急培训和演练，不断提升环境风险防控措施的可靠性和有效性，最大限度降低环境风险。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691" w:type="dxa"/>
            <w:vAlign w:val="center"/>
          </w:tcPr>
          <w:p>
            <w:pPr>
              <w:ind w:left="0" w:leftChars="0" w:right="0" w:rightChars="0"/>
              <w:textAlignment w:val="center"/>
            </w:pPr>
            <w:r>
              <w:rPr>
                <w:szCs w:val="22"/>
              </w:rPr>
              <w:t>1.新、改、扩建的高耗水工业项目，禁止擅自使用地下水。优先配置</w:t>
            </w:r>
            <w:r>
              <w:t>利用中水和疏干水等作为生产水源；具备使用非常规水源条件的园区，限期关闭企业生产用地下水自备水井。</w:t>
            </w:r>
          </w:p>
          <w:p>
            <w:pPr>
              <w:widowControl/>
              <w:ind w:left="0" w:leftChars="0" w:right="0" w:rightChars="0"/>
              <w:textAlignment w:val="center"/>
            </w:pPr>
            <w:r>
              <w:rPr>
                <w:szCs w:val="21"/>
              </w:rPr>
              <w:t>2.</w:t>
            </w:r>
            <w:r>
              <w:rPr>
                <w:rFonts w:hint="eastAsia"/>
              </w:rPr>
              <w:t>实行地下水取用水总量控制和水位控制制度</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ZH15078120002</w:t>
            </w:r>
          </w:p>
        </w:tc>
        <w:tc>
          <w:tcPr>
            <w:tcW w:w="1080" w:type="dxa"/>
            <w:vMerge w:val="restart"/>
            <w:vAlign w:val="center"/>
          </w:tcPr>
          <w:p>
            <w:pPr>
              <w:widowControl/>
              <w:ind w:left="0" w:leftChars="0" w:right="0" w:rightChars="0"/>
              <w:jc w:val="center"/>
              <w:rPr>
                <w:szCs w:val="21"/>
              </w:rPr>
            </w:pPr>
            <w:r>
              <w:rPr>
                <w:szCs w:val="21"/>
              </w:rPr>
              <w:t>满洲里市边境经济合作区进出口资源加工产业园</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1" w:type="dxa"/>
            <w:vAlign w:val="center"/>
          </w:tcPr>
          <w:p>
            <w:pPr>
              <w:ind w:left="0" w:leftChars="0" w:right="0" w:rightChars="0"/>
              <w:rPr>
                <w:szCs w:val="21"/>
              </w:rPr>
            </w:pPr>
            <w:r>
              <w:rPr>
                <w:kern w:val="0"/>
                <w:szCs w:val="21"/>
                <w:lang w:bidi="ar"/>
              </w:rPr>
              <w:t>1.</w:t>
            </w:r>
            <w:r>
              <w:rPr>
                <w:szCs w:val="21"/>
              </w:rPr>
              <w:t>新（改、扩）建化工项目必须符合规划环评及审查意见相关要求，必须与居民区或城市规划的居住用地保持足够的缓冲距离。</w:t>
            </w:r>
          </w:p>
          <w:p>
            <w:pPr>
              <w:widowControl/>
              <w:ind w:left="0" w:leftChars="0" w:right="0" w:rightChars="0"/>
              <w:textAlignment w:val="center"/>
            </w:pPr>
            <w:r>
              <w:rPr>
                <w:szCs w:val="21"/>
              </w:rPr>
              <w:t>2.严格高耗能、高物耗和产能过剩、低水平重复建设项目，以及涉及其他具有重大环境风险建设项目的环评审批。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691" w:type="dxa"/>
            <w:vAlign w:val="center"/>
          </w:tcPr>
          <w:p>
            <w:pPr>
              <w:ind w:left="0" w:leftChars="0" w:right="0" w:rightChars="0"/>
              <w:rPr>
                <w:szCs w:val="21"/>
              </w:rPr>
            </w:pPr>
            <w:r>
              <w:rPr>
                <w:szCs w:val="21"/>
              </w:rPr>
              <w:t>1.落实集中供热，坚决取缔分散燃煤小锅炉，确保区域环境质量达标。禁止新建20蒸吨以下燃煤锅炉。</w:t>
            </w:r>
          </w:p>
          <w:p>
            <w:pPr>
              <w:widowControl/>
              <w:ind w:left="0" w:leftChars="0" w:right="0" w:rightChars="0"/>
              <w:textAlignment w:val="center"/>
            </w:pPr>
            <w:r>
              <w:t>2.严格监督木材防腐生产企业的工艺操作；逐步以ACQ替代CCA作为一种更环保的木材防腐剂；改进后真空防腐工艺，降低滴液区防腐液跑冒滴漏现象，同时在滴液区设置集液导管，收集滴漏防腐液进入集液池再利用。严格开展防渗设计与建设，在企业的滴液区及周边铺设防渗材料，防止废液污染土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szCs w:val="21"/>
              </w:rPr>
              <w:t>环境风险防控</w:t>
            </w:r>
          </w:p>
        </w:tc>
        <w:tc>
          <w:tcPr>
            <w:tcW w:w="5691" w:type="dxa"/>
            <w:vAlign w:val="center"/>
          </w:tcPr>
          <w:p>
            <w:pPr>
              <w:widowControl/>
              <w:ind w:left="0" w:leftChars="0" w:right="0" w:rightChars="0"/>
              <w:textAlignment w:val="center"/>
            </w:pPr>
            <w:r>
              <w:rPr>
                <w:kern w:val="0"/>
                <w:szCs w:val="21"/>
                <w:lang w:bidi="ar"/>
              </w:rPr>
              <w:t>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691" w:type="dxa"/>
            <w:vAlign w:val="center"/>
          </w:tcPr>
          <w:p>
            <w:pPr>
              <w:ind w:left="0" w:leftChars="0" w:right="0" w:rightChars="0"/>
            </w:pPr>
            <w:r>
              <w:rPr>
                <w:szCs w:val="21"/>
                <w:shd w:val="clear" w:color="auto" w:fill="FFFFFF"/>
              </w:rPr>
              <w:t>1.</w:t>
            </w:r>
            <w:r>
              <w:t>制订园区中水回用规划和方案，建立中水回用系统</w:t>
            </w:r>
            <w:r>
              <w:rPr>
                <w:rFonts w:hint="eastAsia"/>
              </w:rPr>
              <w:t>。</w:t>
            </w:r>
            <w:r>
              <w:rPr>
                <w:rFonts w:hint="eastAsia" w:ascii="仿宋_GB2312"/>
                <w:szCs w:val="21"/>
                <w:lang w:eastAsia="zh-Hans"/>
              </w:rPr>
              <w:t>严禁违规使用地下水作为生产水</w:t>
            </w:r>
            <w:r>
              <w:t>，优先使用中水等非常规水源。</w:t>
            </w:r>
          </w:p>
          <w:p>
            <w:pPr>
              <w:widowControl/>
              <w:ind w:left="0" w:leftChars="0" w:right="0" w:rightChars="0"/>
              <w:textAlignment w:val="center"/>
            </w:pPr>
            <w:r>
              <w:rPr>
                <w:szCs w:val="21"/>
              </w:rPr>
              <w:t>2.</w:t>
            </w:r>
            <w:r>
              <w:rPr>
                <w:rFonts w:hint="eastAsia"/>
              </w:rPr>
              <w:t>实行地下水取用水总量控制和水位控制制度</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kern w:val="0"/>
                <w:szCs w:val="21"/>
                <w:lang w:bidi="ar"/>
              </w:rPr>
              <w:t>ZH15078120003</w:t>
            </w:r>
          </w:p>
        </w:tc>
        <w:tc>
          <w:tcPr>
            <w:tcW w:w="1080" w:type="dxa"/>
            <w:vMerge w:val="restart"/>
            <w:vAlign w:val="center"/>
          </w:tcPr>
          <w:p>
            <w:pPr>
              <w:widowControl/>
              <w:ind w:left="0" w:leftChars="0" w:right="0" w:rightChars="0"/>
              <w:jc w:val="center"/>
              <w:rPr>
                <w:szCs w:val="21"/>
              </w:rPr>
            </w:pPr>
            <w:r>
              <w:rPr>
                <w:szCs w:val="21"/>
              </w:rPr>
              <w:t>满洲里市</w:t>
            </w:r>
            <w:r>
              <w:rPr>
                <w:kern w:val="0"/>
                <w:szCs w:val="21"/>
                <w:lang w:bidi="ar"/>
              </w:rPr>
              <w:t>城镇空间</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rPr>
                <w:szCs w:val="21"/>
              </w:rPr>
            </w:pPr>
            <w:r>
              <w:rPr>
                <w:szCs w:val="21"/>
              </w:rPr>
              <w:t>1. 扩大城镇集中供热覆盖范围，加大燃煤小锅炉淘汰力度，鼓励采取太阳能、风能多能互补清洁取暖，旗市区城市建成区原则上不再新建35t/h</w:t>
            </w:r>
            <w:r>
              <w:rPr>
                <w:rFonts w:hint="eastAsia"/>
                <w:szCs w:val="21"/>
              </w:rPr>
              <w:t>及</w:t>
            </w:r>
            <w:r>
              <w:rPr>
                <w:szCs w:val="21"/>
              </w:rPr>
              <w:t>以下燃煤锅炉。</w:t>
            </w:r>
          </w:p>
          <w:p>
            <w:pPr>
              <w:widowControl/>
              <w:ind w:left="0" w:leftChars="0" w:right="0" w:rightChars="0"/>
              <w:textAlignment w:val="center"/>
            </w:pPr>
            <w:r>
              <w:rPr>
                <w:szCs w:val="21"/>
              </w:rP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691" w:type="dxa"/>
            <w:vAlign w:val="center"/>
          </w:tcPr>
          <w:p>
            <w:pPr>
              <w:widowControl/>
              <w:ind w:left="0" w:leftChars="0" w:right="0" w:rightChars="0"/>
              <w:textAlignment w:val="center"/>
              <w:rPr>
                <w:szCs w:val="21"/>
              </w:rPr>
            </w:pPr>
            <w:r>
              <w:rPr>
                <w:szCs w:val="21"/>
              </w:rPr>
              <w:t>1.提升城镇生活污水收集管网覆盖率，逐步实施雨污管网分流改造、管网更新、破损修复、中水回用等工程。</w:t>
            </w:r>
          </w:p>
          <w:p>
            <w:pPr>
              <w:widowControl/>
              <w:ind w:left="0" w:leftChars="0" w:right="0" w:rightChars="0"/>
              <w:textAlignment w:val="center"/>
            </w:pPr>
            <w:r>
              <w:rPr>
                <w:szCs w:val="21"/>
              </w:rP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trPr>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691" w:type="dxa"/>
            <w:vAlign w:val="center"/>
          </w:tcPr>
          <w:p>
            <w:pPr>
              <w:widowControl/>
              <w:ind w:left="0" w:leftChars="0" w:right="0" w:rightChars="0"/>
              <w:textAlignment w:val="center"/>
              <w:rPr>
                <w:szCs w:val="21"/>
              </w:rPr>
            </w:pPr>
            <w:r>
              <w:rPr>
                <w:szCs w:val="21"/>
              </w:rPr>
              <w:t>1.高污染燃料禁燃区内禁止新建、扩建燃用高污染燃料的燃烧设施（单台额定功率29MW及以上的集中供热锅炉、热点联产锅炉除外）；已建成使用高污染燃料的各类设施在停止使用高污染燃料之前，应采取措施确保大气污染物达标排放。</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ZH15078120004</w:t>
            </w:r>
          </w:p>
        </w:tc>
        <w:tc>
          <w:tcPr>
            <w:tcW w:w="1080" w:type="dxa"/>
            <w:vMerge w:val="restart"/>
            <w:vAlign w:val="center"/>
          </w:tcPr>
          <w:p>
            <w:pPr>
              <w:widowControl/>
              <w:ind w:left="0" w:leftChars="0" w:right="0" w:rightChars="0"/>
              <w:jc w:val="center"/>
              <w:rPr>
                <w:szCs w:val="21"/>
              </w:rPr>
            </w:pPr>
            <w:r>
              <w:rPr>
                <w:rFonts w:hint="eastAsia"/>
                <w:szCs w:val="21"/>
              </w:rPr>
              <w:t>满洲里市大气环境高排放重点管控区</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textAlignment w:val="center"/>
              <w:rPr>
                <w:kern w:val="0"/>
                <w:szCs w:val="21"/>
                <w:lang w:bidi="ar"/>
              </w:rPr>
            </w:pPr>
            <w:r>
              <w:rPr>
                <w:rFonts w:hint="eastAsia"/>
                <w:kern w:val="0"/>
                <w:szCs w:val="21"/>
                <w:lang w:bidi="ar"/>
              </w:rPr>
              <w:t>空间布局约束</w:t>
            </w:r>
          </w:p>
        </w:tc>
        <w:tc>
          <w:tcPr>
            <w:tcW w:w="5691" w:type="dxa"/>
            <w:vAlign w:val="center"/>
          </w:tcPr>
          <w:p>
            <w:pPr>
              <w:widowControl/>
              <w:ind w:left="0" w:leftChars="0" w:right="0" w:rightChars="0"/>
              <w:textAlignment w:val="center"/>
              <w:rPr>
                <w:szCs w:val="21"/>
              </w:rPr>
            </w:pPr>
            <w:r>
              <w:rPr>
                <w:rFonts w:hint="eastAsia"/>
                <w:szCs w:val="21"/>
              </w:rPr>
              <w:t>1.加大火电、水泥、烧结砖瓦等行业落后产能淘汰和过剩产能压减力度，支持有色、煤炭、建材等传统产业企业加强技术创新、完善工艺流程，促进工业技改投资，推动传统产业行业深度治理和绿色低碳升级改造，实施减污降碳协同治理。巩固提升“散乱污”工业企业治理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rFonts w:hint="eastAsia"/>
                <w:kern w:val="0"/>
                <w:szCs w:val="21"/>
                <w:lang w:bidi="ar"/>
              </w:rPr>
              <w:t>污染物排放管控</w:t>
            </w:r>
          </w:p>
        </w:tc>
        <w:tc>
          <w:tcPr>
            <w:tcW w:w="5691" w:type="dxa"/>
            <w:vAlign w:val="center"/>
          </w:tcPr>
          <w:p>
            <w:pPr>
              <w:widowControl/>
              <w:ind w:left="0" w:leftChars="0" w:right="0" w:rightChars="0"/>
              <w:textAlignment w:val="center"/>
              <w:rPr>
                <w:szCs w:val="21"/>
              </w:rPr>
            </w:pPr>
            <w:r>
              <w:rPr>
                <w:rFonts w:hint="eastAsia"/>
                <w:szCs w:val="21"/>
              </w:rPr>
              <w:t>1.严格落实污染物排放总量控制制度，把主要污染物排放总量指标作为环评审批的前置条件。</w:t>
            </w:r>
            <w:r>
              <w:rPr>
                <w:rFonts w:hint="eastAsia"/>
                <w:szCs w:val="21"/>
              </w:rPr>
              <w:br w:type="textWrapping"/>
            </w:r>
            <w:r>
              <w:rPr>
                <w:rFonts w:hint="eastAsia"/>
                <w:szCs w:val="21"/>
              </w:rPr>
              <w:t>2.新建、改扩建项目执行重点污染物特别排放限值。现有项目通过提标升级改造，重点污染物逐步达到特别排放限值。</w:t>
            </w:r>
            <w:r>
              <w:rPr>
                <w:rFonts w:hint="eastAsia"/>
                <w:szCs w:val="21"/>
              </w:rPr>
              <w:br w:type="textWrapping"/>
            </w:r>
            <w:r>
              <w:rPr>
                <w:rFonts w:hint="eastAsia"/>
                <w:szCs w:val="21"/>
              </w:rPr>
              <w:t>3.强化工业企业无组织排放管理。对物料（含废渣）储存、装卸、破碎、运输、转移和工艺过程等无组织排放实施深度治理。</w:t>
            </w:r>
            <w:r>
              <w:rPr>
                <w:rFonts w:hint="eastAsia"/>
                <w:szCs w:val="21"/>
              </w:rPr>
              <w:br w:type="textWrapping"/>
            </w:r>
            <w:r>
              <w:rPr>
                <w:rFonts w:hint="eastAsia"/>
                <w:szCs w:val="21"/>
              </w:rPr>
              <w:t>4.状物料（含废渣）和易起尘的块状物料必须进行全封闭，密闭储存；其他块状物料必须入棚入仓或建设防风抑尘网，安装抑尘设施。</w:t>
            </w:r>
            <w:r>
              <w:rPr>
                <w:rFonts w:hint="eastAsia"/>
                <w:szCs w:val="21"/>
              </w:rPr>
              <w:br w:type="textWrapping"/>
            </w:r>
            <w:r>
              <w:rPr>
                <w:rFonts w:hint="eastAsia"/>
                <w:szCs w:val="21"/>
              </w:rPr>
              <w:t>5.所有粉煤灰、电石渣等固废堆场要严格落实抑尘措施。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textAlignment w:val="center"/>
              <w:rPr>
                <w:kern w:val="0"/>
                <w:szCs w:val="21"/>
                <w:lang w:bidi="ar"/>
              </w:rPr>
            </w:pPr>
            <w:r>
              <w:rPr>
                <w:rFonts w:hint="eastAsia"/>
                <w:kern w:val="0"/>
                <w:szCs w:val="21"/>
                <w:lang w:bidi="ar"/>
              </w:rPr>
              <w:t>资源开发效率</w:t>
            </w:r>
          </w:p>
        </w:tc>
        <w:tc>
          <w:tcPr>
            <w:tcW w:w="5691" w:type="dxa"/>
            <w:vAlign w:val="center"/>
          </w:tcPr>
          <w:p>
            <w:pPr>
              <w:widowControl/>
              <w:ind w:left="0" w:leftChars="0" w:right="0" w:rightChars="0"/>
              <w:textAlignment w:val="center"/>
              <w:rPr>
                <w:szCs w:val="21"/>
              </w:rPr>
            </w:pPr>
            <w:r>
              <w:rPr>
                <w:rFonts w:hint="eastAsia"/>
                <w:szCs w:val="21"/>
              </w:rPr>
              <w:t>推进能耗强度和总量“双控”，狠抓工业领域节能管理。优化能源产业结构，逐步提高新能源装机比重，煤炭占能源消费总量比重逐年下降。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ZH15078120006</w:t>
            </w:r>
          </w:p>
        </w:tc>
        <w:tc>
          <w:tcPr>
            <w:tcW w:w="1080" w:type="dxa"/>
            <w:vMerge w:val="restart"/>
            <w:vAlign w:val="center"/>
          </w:tcPr>
          <w:p>
            <w:pPr>
              <w:widowControl/>
              <w:ind w:left="0" w:leftChars="0" w:right="0" w:rightChars="0"/>
              <w:jc w:val="center"/>
              <w:rPr>
                <w:szCs w:val="21"/>
              </w:rPr>
            </w:pPr>
            <w:r>
              <w:rPr>
                <w:szCs w:val="21"/>
              </w:rPr>
              <w:t>满洲里市非金属矿</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textAlignment w:val="center"/>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691" w:type="dxa"/>
            <w:vAlign w:val="center"/>
          </w:tcPr>
          <w:p>
            <w:pPr>
              <w:widowControl/>
              <w:ind w:left="0" w:leftChars="0" w:right="0" w:rightChars="0"/>
              <w:textAlignment w:val="center"/>
              <w:rPr>
                <w:kern w:val="0"/>
                <w:szCs w:val="21"/>
                <w:lang w:bidi="ar"/>
              </w:rPr>
            </w:pPr>
            <w:r>
              <w:rPr>
                <w:kern w:val="0"/>
                <w:szCs w:val="21"/>
                <w:lang w:bidi="ar"/>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rPr>
                <w:kern w:val="0"/>
                <w:szCs w:val="21"/>
                <w:lang w:bidi="ar"/>
              </w:rPr>
            </w:pPr>
            <w:r>
              <w:rPr>
                <w:kern w:val="0"/>
                <w:szCs w:val="21"/>
                <w:lang w:bidi="ar"/>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kern w:val="0"/>
                <w:szCs w:val="21"/>
                <w:lang w:bidi="ar"/>
              </w:rPr>
              <w:t>3.</w:t>
            </w:r>
            <w:r>
              <w:rPr>
                <w:rFonts w:hint="eastAsia"/>
                <w:kern w:val="0"/>
                <w:szCs w:val="21"/>
                <w:lang w:bidi="ar"/>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691" w:type="dxa"/>
            <w:vAlign w:val="center"/>
          </w:tcPr>
          <w:p>
            <w:pPr>
              <w:widowControl/>
              <w:ind w:left="0" w:leftChars="0" w:right="0" w:rightChars="0"/>
              <w:textAlignment w:val="center"/>
              <w:rPr>
                <w:kern w:val="0"/>
                <w:szCs w:val="21"/>
                <w:lang w:bidi="ar"/>
              </w:rPr>
            </w:pPr>
            <w:r>
              <w:rPr>
                <w:kern w:val="0"/>
                <w:szCs w:val="21"/>
                <w:lang w:bidi="ar"/>
              </w:rPr>
              <w:t>1.制定环境风险应急预案，成立应急组织机构，配备必要的应急设施和应急物资，定期开展环境风险应急演练。</w:t>
            </w:r>
          </w:p>
          <w:p>
            <w:pPr>
              <w:widowControl/>
              <w:ind w:left="0" w:leftChars="0" w:right="0" w:rightChars="0"/>
              <w:textAlignment w:val="center"/>
              <w:rPr>
                <w:kern w:val="0"/>
                <w:szCs w:val="21"/>
                <w:lang w:bidi="ar"/>
              </w:rPr>
            </w:pPr>
            <w:r>
              <w:rPr>
                <w:kern w:val="0"/>
                <w:szCs w:val="21"/>
                <w:lang w:bidi="ar"/>
              </w:rP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91" w:type="dxa"/>
            <w:vAlign w:val="center"/>
          </w:tcPr>
          <w:p>
            <w:pPr>
              <w:widowControl/>
              <w:ind w:left="0" w:leftChars="0" w:right="0" w:rightChars="0"/>
              <w:textAlignment w:val="center"/>
              <w:rPr>
                <w:kern w:val="0"/>
                <w:szCs w:val="21"/>
                <w:lang w:bidi="ar"/>
              </w:rPr>
            </w:pPr>
            <w:r>
              <w:rPr>
                <w:kern w:val="0"/>
                <w:szCs w:val="21"/>
                <w:lang w:bidi="ar"/>
              </w:rP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ZH15078120007</w:t>
            </w:r>
          </w:p>
        </w:tc>
        <w:tc>
          <w:tcPr>
            <w:tcW w:w="1080" w:type="dxa"/>
            <w:vMerge w:val="restart"/>
            <w:vAlign w:val="center"/>
          </w:tcPr>
          <w:p>
            <w:pPr>
              <w:widowControl/>
              <w:ind w:left="0" w:leftChars="0" w:right="0" w:rightChars="0"/>
              <w:jc w:val="center"/>
              <w:rPr>
                <w:szCs w:val="21"/>
              </w:rPr>
            </w:pPr>
            <w:r>
              <w:rPr>
                <w:szCs w:val="21"/>
              </w:rPr>
              <w:t>满洲里市煤矿</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rPr>
                <w:kern w:val="0"/>
                <w:szCs w:val="21"/>
                <w:lang w:bidi="ar"/>
              </w:rPr>
            </w:pPr>
            <w:r>
              <w:rPr>
                <w:kern w:val="0"/>
                <w:szCs w:val="21"/>
                <w:lang w:bidi="ar"/>
              </w:rPr>
              <w:t>1.非经国务院授权的有关主管部门同意，不得在《中华人民共和国矿产资源法（修正）》中所列的6种地区开采矿产资源。</w:t>
            </w:r>
          </w:p>
          <w:p>
            <w:pPr>
              <w:widowControl/>
              <w:ind w:left="0" w:leftChars="0" w:right="0" w:rightChars="0"/>
              <w:textAlignment w:val="center"/>
              <w:rPr>
                <w:kern w:val="0"/>
                <w:szCs w:val="21"/>
                <w:lang w:bidi="ar"/>
              </w:rPr>
            </w:pPr>
            <w:r>
              <w:rPr>
                <w:kern w:val="0"/>
                <w:szCs w:val="21"/>
                <w:lang w:bidi="ar"/>
              </w:rP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rPr>
                <w:kern w:val="0"/>
                <w:szCs w:val="21"/>
                <w:lang w:bidi="ar"/>
              </w:rPr>
            </w:pPr>
            <w:r>
              <w:rPr>
                <w:kern w:val="0"/>
                <w:szCs w:val="21"/>
                <w:lang w:bidi="ar"/>
              </w:rP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rPr>
                <w:kern w:val="0"/>
                <w:szCs w:val="21"/>
                <w:lang w:bidi="ar"/>
              </w:rPr>
            </w:pPr>
            <w:r>
              <w:rPr>
                <w:kern w:val="0"/>
                <w:szCs w:val="21"/>
                <w:lang w:bidi="ar"/>
              </w:rP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textAlignment w:val="center"/>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691" w:type="dxa"/>
            <w:vAlign w:val="center"/>
          </w:tcPr>
          <w:p>
            <w:pPr>
              <w:widowControl/>
              <w:ind w:left="0" w:leftChars="0" w:right="0" w:rightChars="0"/>
              <w:textAlignment w:val="center"/>
              <w:rPr>
                <w:kern w:val="0"/>
                <w:szCs w:val="21"/>
                <w:lang w:bidi="ar"/>
              </w:rPr>
            </w:pPr>
            <w:r>
              <w:rPr>
                <w:kern w:val="0"/>
                <w:szCs w:val="21"/>
                <w:lang w:bidi="ar"/>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rPr>
                <w:kern w:val="0"/>
                <w:szCs w:val="21"/>
                <w:lang w:bidi="ar"/>
              </w:rPr>
            </w:pPr>
            <w:r>
              <w:rPr>
                <w:kern w:val="0"/>
                <w:szCs w:val="21"/>
                <w:lang w:bidi="ar"/>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rFonts w:hint="eastAsia"/>
                <w:kern w:val="0"/>
                <w:szCs w:val="21"/>
                <w:lang w:bidi="ar"/>
              </w:rPr>
              <w:t>3</w:t>
            </w:r>
            <w:r>
              <w:rPr>
                <w:kern w:val="0"/>
                <w:szCs w:val="21"/>
                <w:lang w:bidi="ar"/>
              </w:rP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691" w:type="dxa"/>
            <w:vAlign w:val="center"/>
          </w:tcPr>
          <w:p>
            <w:pPr>
              <w:widowControl/>
              <w:ind w:left="0" w:leftChars="0" w:right="0" w:rightChars="0"/>
              <w:textAlignment w:val="center"/>
              <w:rPr>
                <w:kern w:val="0"/>
                <w:szCs w:val="21"/>
                <w:lang w:bidi="ar"/>
              </w:rPr>
            </w:pPr>
            <w:r>
              <w:rPr>
                <w:kern w:val="0"/>
                <w:szCs w:val="21"/>
                <w:lang w:bidi="ar"/>
              </w:rPr>
              <w:t>1.制定环境风险应急预案，成立应急组织机构，配备必要的应急设施和应急物资，定期开展环境风险应急演练。</w:t>
            </w:r>
          </w:p>
          <w:p>
            <w:pPr>
              <w:widowControl/>
              <w:ind w:left="0" w:leftChars="0" w:right="0" w:rightChars="0"/>
              <w:jc w:val="left"/>
              <w:rPr>
                <w:kern w:val="0"/>
                <w:szCs w:val="21"/>
                <w:lang w:bidi="ar"/>
              </w:rPr>
            </w:pPr>
            <w:r>
              <w:rPr>
                <w:kern w:val="0"/>
                <w:szCs w:val="21"/>
                <w:lang w:bidi="ar"/>
              </w:rP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rPr>
                <w:kern w:val="0"/>
                <w:szCs w:val="21"/>
                <w:lang w:bidi="ar"/>
              </w:rPr>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91" w:type="dxa"/>
            <w:vAlign w:val="center"/>
          </w:tcPr>
          <w:p>
            <w:pPr>
              <w:widowControl/>
              <w:ind w:left="0" w:leftChars="0" w:right="0" w:rightChars="0"/>
              <w:textAlignment w:val="center"/>
              <w:rPr>
                <w:kern w:val="0"/>
                <w:szCs w:val="21"/>
                <w:lang w:bidi="ar"/>
              </w:rPr>
            </w:pPr>
            <w:r>
              <w:rPr>
                <w:kern w:val="0"/>
                <w:szCs w:val="21"/>
                <w:lang w:bidi="ar"/>
              </w:rPr>
              <w:t>1</w:t>
            </w:r>
            <w:r>
              <w:rPr>
                <w:rFonts w:hint="eastAsia"/>
                <w:kern w:val="0"/>
                <w:szCs w:val="21"/>
                <w:lang w:bidi="ar"/>
              </w:rPr>
              <w:t>.</w:t>
            </w:r>
            <w:r>
              <w:rPr>
                <w:kern w:val="0"/>
                <w:szCs w:val="21"/>
                <w:lang w:bidi="ar"/>
              </w:rPr>
              <w:t>原煤入选率不低于75%；煤矸石综合利用率应达到75%以上；矿井水、疏干水应采用洁净化、资源化技术和工艺进行合理处置，处置率达到100%。</w:t>
            </w:r>
          </w:p>
          <w:p>
            <w:pPr>
              <w:widowControl/>
              <w:ind w:left="0" w:leftChars="0" w:right="0" w:rightChars="0"/>
              <w:textAlignment w:val="center"/>
              <w:rPr>
                <w:kern w:val="0"/>
                <w:szCs w:val="21"/>
                <w:lang w:bidi="ar"/>
              </w:rPr>
            </w:pPr>
            <w:r>
              <w:rPr>
                <w:kern w:val="0"/>
                <w:szCs w:val="21"/>
                <w:lang w:bidi="ar"/>
              </w:rPr>
              <w:t>2</w:t>
            </w:r>
            <w:r>
              <w:rPr>
                <w:rFonts w:hint="eastAsia"/>
                <w:kern w:val="0"/>
                <w:szCs w:val="21"/>
                <w:lang w:bidi="ar"/>
              </w:rPr>
              <w:t>.</w:t>
            </w:r>
            <w:r>
              <w:rPr>
                <w:kern w:val="0"/>
                <w:szCs w:val="21"/>
                <w:lang w:bidi="ar"/>
              </w:rP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rPr>
                <w:kern w:val="0"/>
                <w:szCs w:val="21"/>
                <w:lang w:bidi="ar"/>
              </w:rPr>
            </w:pPr>
            <w:r>
              <w:rPr>
                <w:kern w:val="0"/>
                <w:szCs w:val="21"/>
                <w:lang w:bidi="ar"/>
              </w:rP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ZH15078120008</w:t>
            </w:r>
          </w:p>
        </w:tc>
        <w:tc>
          <w:tcPr>
            <w:tcW w:w="1080" w:type="dxa"/>
            <w:vAlign w:val="center"/>
          </w:tcPr>
          <w:p>
            <w:pPr>
              <w:widowControl/>
              <w:ind w:left="0" w:leftChars="0" w:right="0" w:rightChars="0"/>
              <w:jc w:val="center"/>
              <w:rPr>
                <w:szCs w:val="21"/>
              </w:rPr>
            </w:pPr>
            <w:r>
              <w:rPr>
                <w:rFonts w:hint="eastAsia"/>
                <w:szCs w:val="21"/>
              </w:rPr>
              <w:t>满洲里市小型孔隙浅层地下水重点管控区</w:t>
            </w:r>
          </w:p>
        </w:tc>
        <w:tc>
          <w:tcPr>
            <w:tcW w:w="985" w:type="dxa"/>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91" w:type="dxa"/>
            <w:vAlign w:val="center"/>
          </w:tcPr>
          <w:p>
            <w:pPr>
              <w:ind w:left="0" w:leftChars="0" w:right="0" w:rightChars="0"/>
              <w:rPr>
                <w:szCs w:val="21"/>
                <w:shd w:val="clear" w:color="auto" w:fill="FFFFFF"/>
              </w:rPr>
            </w:pPr>
            <w:r>
              <w:rPr>
                <w:rFonts w:hint="eastAsia"/>
                <w:szCs w:val="21"/>
                <w:shd w:val="clear" w:color="auto" w:fill="FFFFFF"/>
              </w:rPr>
              <w:t>1.严控地下水超采。严格执行《地下水超采区和重要地下水水源地水位与水量双控方案修编》；</w:t>
            </w:r>
          </w:p>
          <w:p>
            <w:pPr>
              <w:ind w:left="0" w:leftChars="0" w:right="0" w:rightChars="0"/>
              <w:rPr>
                <w:szCs w:val="21"/>
                <w:shd w:val="clear" w:color="auto" w:fill="FFFFFF"/>
              </w:rPr>
            </w:pPr>
            <w:r>
              <w:rPr>
                <w:rFonts w:hint="eastAsia"/>
                <w:szCs w:val="21"/>
                <w:shd w:val="clear" w:color="auto" w:fill="FFFFFF"/>
              </w:rPr>
              <w:t>2.自治区实行地下水取用水总量控制和水位控制制度。</w:t>
            </w:r>
          </w:p>
          <w:p>
            <w:pPr>
              <w:widowControl/>
              <w:ind w:left="0" w:leftChars="0" w:right="0" w:rightChars="0"/>
              <w:textAlignment w:val="center"/>
              <w:rPr>
                <w:kern w:val="0"/>
                <w:szCs w:val="21"/>
                <w:lang w:bidi="ar"/>
              </w:rPr>
            </w:pPr>
            <w:r>
              <w:rPr>
                <w:rFonts w:hint="eastAsia"/>
                <w:szCs w:val="21"/>
                <w:shd w:val="clear" w:color="auto" w:fill="FFFFFF"/>
              </w:rPr>
              <w:t>3.超采区地下水实现采补平衡的，旗县级人民政府应当持续按照管理单元生态水位控制要求，采取管控措施，逐步恢复到生态水位。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restart"/>
            <w:vAlign w:val="center"/>
          </w:tcPr>
          <w:p>
            <w:pPr>
              <w:widowControl/>
              <w:ind w:left="0" w:leftChars="0" w:right="0" w:rightChars="0"/>
              <w:jc w:val="center"/>
              <w:rPr>
                <w:szCs w:val="21"/>
              </w:rPr>
            </w:pPr>
            <w:r>
              <w:rPr>
                <w:rFonts w:hint="eastAsia"/>
                <w:szCs w:val="21"/>
              </w:rPr>
              <w:t>ZH15078120009</w:t>
            </w:r>
          </w:p>
        </w:tc>
        <w:tc>
          <w:tcPr>
            <w:tcW w:w="1080" w:type="dxa"/>
            <w:vMerge w:val="restart"/>
            <w:vAlign w:val="center"/>
          </w:tcPr>
          <w:p>
            <w:pPr>
              <w:widowControl/>
              <w:ind w:left="0" w:leftChars="0" w:right="0" w:rightChars="0"/>
              <w:jc w:val="center"/>
              <w:rPr>
                <w:szCs w:val="21"/>
              </w:rPr>
            </w:pPr>
            <w:r>
              <w:rPr>
                <w:rFonts w:hint="eastAsia"/>
              </w:rPr>
              <w:t>满洲里市扎赉诺尔矿区</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rPr>
                <w:kern w:val="0"/>
                <w:szCs w:val="21"/>
                <w:lang w:bidi="ar"/>
              </w:rPr>
            </w:pPr>
            <w:r>
              <w:rPr>
                <w:kern w:val="0"/>
                <w:szCs w:val="21"/>
                <w:lang w:bidi="ar"/>
              </w:rPr>
              <w:t>1.非经国务院授权的有关主管部门同意，不得在《中华人民共和国矿产资源法（修正）》中所列的6种地区开采矿产资源。</w:t>
            </w:r>
          </w:p>
          <w:p>
            <w:pPr>
              <w:widowControl/>
              <w:ind w:left="0" w:leftChars="0" w:right="0" w:rightChars="0"/>
              <w:textAlignment w:val="center"/>
              <w:rPr>
                <w:kern w:val="0"/>
                <w:szCs w:val="21"/>
                <w:lang w:bidi="ar"/>
              </w:rPr>
            </w:pPr>
            <w:r>
              <w:rPr>
                <w:kern w:val="0"/>
                <w:szCs w:val="21"/>
                <w:lang w:bidi="ar"/>
              </w:rP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rPr>
                <w:kern w:val="0"/>
                <w:szCs w:val="21"/>
                <w:lang w:bidi="ar"/>
              </w:rPr>
            </w:pPr>
            <w:r>
              <w:rPr>
                <w:kern w:val="0"/>
                <w:szCs w:val="21"/>
                <w:lang w:bidi="ar"/>
              </w:rP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rPr>
                <w:kern w:val="0"/>
                <w:szCs w:val="21"/>
                <w:lang w:bidi="ar"/>
              </w:rPr>
            </w:pPr>
            <w:r>
              <w:rPr>
                <w:kern w:val="0"/>
                <w:szCs w:val="21"/>
                <w:lang w:bidi="ar"/>
              </w:rP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textAlignment w:val="center"/>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691" w:type="dxa"/>
            <w:vAlign w:val="center"/>
          </w:tcPr>
          <w:p>
            <w:pPr>
              <w:widowControl/>
              <w:ind w:left="0" w:leftChars="0" w:right="0" w:rightChars="0"/>
              <w:textAlignment w:val="center"/>
              <w:rPr>
                <w:kern w:val="0"/>
                <w:szCs w:val="21"/>
                <w:lang w:bidi="ar"/>
              </w:rPr>
            </w:pPr>
            <w:r>
              <w:rPr>
                <w:kern w:val="0"/>
                <w:szCs w:val="21"/>
                <w:lang w:bidi="ar"/>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rPr>
                <w:kern w:val="0"/>
                <w:szCs w:val="21"/>
                <w:lang w:bidi="ar"/>
              </w:rPr>
            </w:pPr>
            <w:r>
              <w:rPr>
                <w:kern w:val="0"/>
                <w:szCs w:val="21"/>
                <w:lang w:bidi="ar"/>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rFonts w:hint="eastAsia"/>
                <w:kern w:val="0"/>
                <w:szCs w:val="21"/>
                <w:lang w:bidi="ar"/>
              </w:rPr>
              <w:t>3</w:t>
            </w:r>
            <w:r>
              <w:rPr>
                <w:kern w:val="0"/>
                <w:szCs w:val="21"/>
                <w:lang w:bidi="ar"/>
              </w:rP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691" w:type="dxa"/>
            <w:vAlign w:val="center"/>
          </w:tcPr>
          <w:p>
            <w:pPr>
              <w:widowControl/>
              <w:ind w:left="0" w:leftChars="0" w:right="0" w:rightChars="0"/>
              <w:textAlignment w:val="center"/>
              <w:rPr>
                <w:kern w:val="0"/>
                <w:szCs w:val="21"/>
                <w:lang w:bidi="ar"/>
              </w:rPr>
            </w:pPr>
            <w:r>
              <w:rPr>
                <w:kern w:val="0"/>
                <w:szCs w:val="21"/>
                <w:lang w:bidi="ar"/>
              </w:rPr>
              <w:t>1.制定环境风险应急预案，成立应急组织机构，配备必要的应急设施和应急物资，定期开展环境风险应急演练。</w:t>
            </w:r>
          </w:p>
          <w:p>
            <w:pPr>
              <w:widowControl/>
              <w:ind w:left="0" w:leftChars="0" w:right="0" w:rightChars="0"/>
              <w:jc w:val="left"/>
              <w:rPr>
                <w:kern w:val="0"/>
                <w:szCs w:val="21"/>
                <w:lang w:bidi="ar"/>
              </w:rPr>
            </w:pPr>
            <w:r>
              <w:rPr>
                <w:kern w:val="0"/>
                <w:szCs w:val="21"/>
                <w:lang w:bidi="ar"/>
              </w:rP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rPr>
                <w:kern w:val="0"/>
                <w:szCs w:val="21"/>
                <w:lang w:bidi="ar"/>
              </w:rPr>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91" w:type="dxa"/>
            <w:vAlign w:val="center"/>
          </w:tcPr>
          <w:p>
            <w:pPr>
              <w:widowControl/>
              <w:ind w:left="0" w:leftChars="0" w:right="0" w:rightChars="0"/>
              <w:textAlignment w:val="center"/>
              <w:rPr>
                <w:kern w:val="0"/>
                <w:szCs w:val="21"/>
                <w:lang w:bidi="ar"/>
              </w:rPr>
            </w:pPr>
            <w:r>
              <w:rPr>
                <w:kern w:val="0"/>
                <w:szCs w:val="21"/>
                <w:lang w:bidi="ar"/>
              </w:rPr>
              <w:t>1</w:t>
            </w:r>
            <w:r>
              <w:rPr>
                <w:rFonts w:hint="eastAsia"/>
                <w:kern w:val="0"/>
                <w:szCs w:val="21"/>
                <w:lang w:bidi="ar"/>
              </w:rPr>
              <w:t>.</w:t>
            </w:r>
            <w:r>
              <w:rPr>
                <w:kern w:val="0"/>
                <w:szCs w:val="21"/>
                <w:lang w:bidi="ar"/>
              </w:rPr>
              <w:t>原煤入选率不低于75%；煤矸石综合利用率应达到75%以上；矿井水、疏干水应采用洁净化、资源化技术和工艺进行合理处置，处置率达到100%。</w:t>
            </w:r>
          </w:p>
          <w:p>
            <w:pPr>
              <w:widowControl/>
              <w:ind w:left="0" w:leftChars="0" w:right="0" w:rightChars="0"/>
              <w:textAlignment w:val="center"/>
              <w:rPr>
                <w:kern w:val="0"/>
                <w:szCs w:val="21"/>
                <w:lang w:bidi="ar"/>
              </w:rPr>
            </w:pPr>
            <w:r>
              <w:rPr>
                <w:kern w:val="0"/>
                <w:szCs w:val="21"/>
                <w:lang w:bidi="ar"/>
              </w:rPr>
              <w:t>2</w:t>
            </w:r>
            <w:r>
              <w:rPr>
                <w:rFonts w:hint="eastAsia"/>
                <w:kern w:val="0"/>
                <w:szCs w:val="21"/>
                <w:lang w:bidi="ar"/>
              </w:rPr>
              <w:t>.</w:t>
            </w:r>
            <w:r>
              <w:rPr>
                <w:kern w:val="0"/>
                <w:szCs w:val="21"/>
                <w:lang w:bidi="ar"/>
              </w:rP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rPr>
                <w:kern w:val="0"/>
                <w:szCs w:val="21"/>
                <w:lang w:bidi="ar"/>
              </w:rPr>
            </w:pPr>
            <w:r>
              <w:rPr>
                <w:kern w:val="0"/>
                <w:szCs w:val="21"/>
                <w:lang w:bidi="ar"/>
              </w:rP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ZH15078120010</w:t>
            </w:r>
          </w:p>
        </w:tc>
        <w:tc>
          <w:tcPr>
            <w:tcW w:w="1080" w:type="dxa"/>
            <w:vMerge w:val="restart"/>
            <w:vAlign w:val="center"/>
          </w:tcPr>
          <w:p>
            <w:pPr>
              <w:widowControl/>
              <w:ind w:left="0" w:leftChars="0" w:right="0" w:rightChars="0"/>
              <w:jc w:val="center"/>
              <w:rPr>
                <w:szCs w:val="21"/>
              </w:rPr>
            </w:pPr>
            <w:r>
              <w:rPr>
                <w:szCs w:val="21"/>
              </w:rPr>
              <w:t>满洲里中俄互市贸易区</w:t>
            </w:r>
          </w:p>
        </w:tc>
        <w:tc>
          <w:tcPr>
            <w:tcW w:w="985"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rPr>
                <w:kern w:val="0"/>
                <w:szCs w:val="21"/>
                <w:lang w:bidi="ar"/>
              </w:rPr>
            </w:pPr>
            <w:r>
              <w:t>严格禁止耗水量大、产污量大的企业进驻。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691" w:type="dxa"/>
            <w:vAlign w:val="center"/>
          </w:tcPr>
          <w:p>
            <w:pPr>
              <w:ind w:left="0" w:leftChars="0" w:right="0" w:rightChars="0"/>
              <w:rPr>
                <w:kern w:val="0"/>
                <w:szCs w:val="21"/>
                <w:lang w:bidi="ar"/>
              </w:rPr>
            </w:pPr>
            <w:r>
              <w:t>运输应采用密闭皮带、封闭通廊、管状带式输送机或密闭车厢、真空罐车、气力输送等密闭输送方式；汽车、火车、皮带输送机等卸料点设置集气罩或密闭罩，并配备除尘设施；料场路面应实施硬化，出口处配备车轮和车身清洗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691" w:type="dxa"/>
            <w:vAlign w:val="center"/>
          </w:tcPr>
          <w:p>
            <w:pPr>
              <w:ind w:left="0" w:leftChars="0" w:right="0" w:rightChars="0"/>
              <w:rPr>
                <w:kern w:val="0"/>
                <w:szCs w:val="21"/>
                <w:lang w:bidi="ar"/>
              </w:rPr>
            </w:pPr>
            <w:r>
              <w:rPr>
                <w:kern w:val="0"/>
                <w:szCs w:val="21"/>
                <w:lang w:bidi="ar"/>
              </w:rPr>
              <w:t>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szCs w:val="21"/>
              </w:rPr>
            </w:pPr>
            <w:r>
              <w:rPr>
                <w:kern w:val="0"/>
                <w:szCs w:val="21"/>
                <w:lang w:bidi="ar"/>
              </w:rPr>
              <w:t>资源利用效率要求</w:t>
            </w:r>
          </w:p>
        </w:tc>
        <w:tc>
          <w:tcPr>
            <w:tcW w:w="5691" w:type="dxa"/>
            <w:vAlign w:val="center"/>
          </w:tcPr>
          <w:p>
            <w:pPr>
              <w:widowControl/>
              <w:ind w:left="0" w:leftChars="0" w:right="0" w:rightChars="0"/>
              <w:textAlignment w:val="center"/>
            </w:pPr>
            <w:r>
              <w:rPr>
                <w:szCs w:val="22"/>
              </w:rPr>
              <w:t>1.新、改、扩建的高耗水工业项目，禁止擅自使用地下水。优先配置</w:t>
            </w:r>
            <w:r>
              <w:t>利用中水和疏干水等作为生产水源；具备使用非常规水源条件的园区，限期关闭企业生产用地下水自备水井。</w:t>
            </w:r>
          </w:p>
          <w:p>
            <w:pPr>
              <w:ind w:left="0" w:leftChars="0" w:right="0" w:rightChars="0"/>
              <w:rPr>
                <w:kern w:val="0"/>
                <w:szCs w:val="21"/>
                <w:lang w:bidi="ar"/>
              </w:rPr>
            </w:pPr>
            <w:r>
              <w:rPr>
                <w:szCs w:val="21"/>
                <w:shd w:val="clear" w:color="auto" w:fill="FFFFFF"/>
              </w:rPr>
              <w:t>2.</w:t>
            </w:r>
            <w:r>
              <w:t>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eastAsia="宋体"/>
                <w:kern w:val="0"/>
                <w:szCs w:val="21"/>
                <w:lang w:bidi="ar"/>
              </w:rPr>
              <w:t>ZH15078120011</w:t>
            </w:r>
          </w:p>
        </w:tc>
        <w:tc>
          <w:tcPr>
            <w:tcW w:w="1080" w:type="dxa"/>
            <w:vMerge w:val="restart"/>
            <w:vAlign w:val="center"/>
          </w:tcPr>
          <w:p>
            <w:pPr>
              <w:widowControl/>
              <w:ind w:left="0" w:leftChars="0" w:right="0" w:rightChars="0"/>
              <w:jc w:val="center"/>
              <w:rPr>
                <w:szCs w:val="21"/>
              </w:rPr>
            </w:pPr>
            <w:r>
              <w:rPr>
                <w:kern w:val="0"/>
                <w:szCs w:val="21"/>
                <w:lang w:bidi="ar"/>
              </w:rPr>
              <w:t>满洲里综合保税区</w:t>
            </w:r>
          </w:p>
        </w:tc>
        <w:tc>
          <w:tcPr>
            <w:tcW w:w="985" w:type="dxa"/>
            <w:vMerge w:val="restart"/>
            <w:vAlign w:val="center"/>
          </w:tcPr>
          <w:p>
            <w:pPr>
              <w:widowControl/>
              <w:ind w:left="0" w:leftChars="0" w:right="0" w:rightChars="0"/>
              <w:jc w:val="center"/>
              <w:rPr>
                <w:szCs w:val="21"/>
              </w:rPr>
            </w:pPr>
            <w:r>
              <w:rPr>
                <w:kern w:val="0"/>
                <w:szCs w:val="21"/>
                <w:lang w:bidi="ar"/>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rPr>
                <w:szCs w:val="22"/>
              </w:rPr>
            </w:pPr>
            <w:r>
              <w:t>禁止引进皮革加工、化学制药类工业项目，严格禁止耗水量大、产污量大的企业进驻。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691" w:type="dxa"/>
            <w:vAlign w:val="center"/>
          </w:tcPr>
          <w:p>
            <w:pPr>
              <w:widowControl/>
              <w:ind w:left="0" w:leftChars="0" w:right="0" w:rightChars="0"/>
              <w:textAlignment w:val="center"/>
              <w:rPr>
                <w:lang w:bidi="ar"/>
              </w:rPr>
            </w:pPr>
            <w:r>
              <w:rPr>
                <w:kern w:val="0"/>
                <w:szCs w:val="21"/>
                <w:lang w:bidi="ar"/>
              </w:rPr>
              <w:t>1.</w:t>
            </w:r>
            <w:r>
              <w:rPr>
                <w:lang w:bidi="ar"/>
              </w:rPr>
              <w:t>新建进口粮油加工项目不再审批建设燃煤锅炉，全部采用燃气锅炉。流通加工油料生产项目炒籽环节使用天然气作为燃料，不再使用燃料油；小麦加工配套布袋除尘设施；挥发性有机物配套回收处理设施。园区散货仓储物流建设封闭仓库，防治扬粉尘污染。</w:t>
            </w:r>
          </w:p>
          <w:p>
            <w:pPr>
              <w:ind w:left="0" w:leftChars="0" w:right="0" w:rightChars="0"/>
              <w:rPr>
                <w:kern w:val="0"/>
                <w:szCs w:val="21"/>
                <w:lang w:bidi="ar"/>
              </w:rPr>
            </w:pPr>
            <w:r>
              <w:t>2.运输应采用密闭皮带、封闭通廊、管状带式输送机或密闭车厢、真空罐车、气力输送等密闭输送方式；料场路面应实施硬化，出口处配备车轮和车身清洗装置。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环境风险防控</w:t>
            </w:r>
          </w:p>
        </w:tc>
        <w:tc>
          <w:tcPr>
            <w:tcW w:w="5691" w:type="dxa"/>
            <w:vAlign w:val="center"/>
          </w:tcPr>
          <w:p>
            <w:pPr>
              <w:ind w:left="0" w:leftChars="0" w:right="0" w:rightChars="0"/>
              <w:rPr>
                <w:szCs w:val="21"/>
              </w:rPr>
            </w:pPr>
            <w:r>
              <w:rPr>
                <w:kern w:val="0"/>
                <w:szCs w:val="21"/>
                <w:lang w:bidi="ar"/>
              </w:rPr>
              <w:t>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080" w:type="dxa"/>
            <w:vMerge w:val="continue"/>
            <w:vAlign w:val="center"/>
          </w:tcPr>
          <w:p>
            <w:pPr>
              <w:widowControl/>
              <w:ind w:left="0" w:leftChars="0" w:right="0" w:rightChars="0"/>
              <w:jc w:val="center"/>
              <w:rPr>
                <w:szCs w:val="21"/>
              </w:rPr>
            </w:pPr>
          </w:p>
        </w:tc>
        <w:tc>
          <w:tcPr>
            <w:tcW w:w="985"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szCs w:val="21"/>
              </w:rPr>
            </w:pPr>
            <w:r>
              <w:rPr>
                <w:kern w:val="0"/>
                <w:szCs w:val="21"/>
                <w:lang w:bidi="ar"/>
              </w:rPr>
              <w:t>资源利用效率要求</w:t>
            </w:r>
          </w:p>
        </w:tc>
        <w:tc>
          <w:tcPr>
            <w:tcW w:w="5691" w:type="dxa"/>
            <w:vAlign w:val="center"/>
          </w:tcPr>
          <w:p>
            <w:pPr>
              <w:ind w:left="0" w:leftChars="0" w:right="0" w:rightChars="0"/>
              <w:textAlignment w:val="center"/>
            </w:pPr>
            <w:r>
              <w:rPr>
                <w:szCs w:val="22"/>
              </w:rPr>
              <w:t>1.新、改、扩建的高耗水工业项目，禁止擅自使用地下水。优先配置</w:t>
            </w:r>
            <w:r>
              <w:t>利用中水和疏干水等作为生产水源；具备使用非常规水源条件的园区，限期关闭企业生产用地下水自备水井。</w:t>
            </w:r>
          </w:p>
          <w:p>
            <w:pPr>
              <w:ind w:left="0" w:leftChars="0" w:right="0" w:rightChars="0"/>
              <w:rPr>
                <w:kern w:val="0"/>
                <w:szCs w:val="21"/>
                <w:lang w:bidi="ar"/>
              </w:rPr>
            </w:pPr>
            <w:r>
              <w:rPr>
                <w:szCs w:val="21"/>
              </w:rPr>
              <w:t>2.</w:t>
            </w:r>
            <w:r>
              <w:t>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rFonts w:eastAsia="宋体"/>
                <w:kern w:val="0"/>
                <w:szCs w:val="21"/>
                <w:lang w:bidi="ar"/>
              </w:rPr>
            </w:pPr>
            <w:r>
              <w:rPr>
                <w:szCs w:val="21"/>
              </w:rPr>
              <w:t>ZH15078120005</w:t>
            </w:r>
          </w:p>
        </w:tc>
        <w:tc>
          <w:tcPr>
            <w:tcW w:w="1080" w:type="dxa"/>
            <w:vAlign w:val="center"/>
          </w:tcPr>
          <w:p>
            <w:pPr>
              <w:widowControl/>
              <w:ind w:left="0" w:leftChars="0" w:right="0" w:rightChars="0"/>
              <w:jc w:val="center"/>
              <w:rPr>
                <w:kern w:val="0"/>
                <w:szCs w:val="21"/>
                <w:lang w:bidi="ar"/>
              </w:rPr>
            </w:pPr>
            <w:r>
              <w:rPr>
                <w:szCs w:val="21"/>
              </w:rPr>
              <w:t>满洲里市生态用水补给区</w:t>
            </w:r>
          </w:p>
        </w:tc>
        <w:tc>
          <w:tcPr>
            <w:tcW w:w="985" w:type="dxa"/>
            <w:vAlign w:val="center"/>
          </w:tcPr>
          <w:p>
            <w:pPr>
              <w:widowControl/>
              <w:ind w:left="0" w:leftChars="0" w:right="0" w:rightChars="0"/>
              <w:jc w:val="center"/>
              <w:rPr>
                <w:kern w:val="0"/>
                <w:szCs w:val="21"/>
                <w:lang w:bidi="ar"/>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91" w:type="dxa"/>
            <w:vAlign w:val="center"/>
          </w:tcPr>
          <w:p>
            <w:pPr>
              <w:widowControl/>
              <w:ind w:left="0" w:leftChars="0" w:right="0" w:rightChars="0"/>
              <w:textAlignment w:val="center"/>
              <w:rPr>
                <w:lang w:bidi="ar"/>
              </w:rPr>
            </w:pPr>
            <w:r>
              <w:rPr>
                <w:lang w:bidi="ar"/>
              </w:rPr>
              <w:t>1.实施生态流量保障考核评估，强化生态流量管控，落实河湖生态水量（流量）保障的目标要求。</w:t>
            </w:r>
          </w:p>
          <w:p>
            <w:pPr>
              <w:widowControl/>
              <w:ind w:left="0" w:leftChars="0" w:right="0" w:rightChars="0"/>
              <w:textAlignment w:val="center"/>
              <w:rPr>
                <w:lang w:bidi="ar"/>
              </w:rPr>
            </w:pPr>
            <w:r>
              <w:rPr>
                <w:lang w:bidi="ar"/>
              </w:rPr>
              <w:t>2.新增用水项目应满足国家相关节水要求。建立高耗水行业负面清单，同时结合呼伦贝尔市优势产业发展布局，限制高耗水项目入驻，加快发展新能源、新科技以及现代物流等新兴节水产业，建立节水产业体系。</w:t>
            </w:r>
          </w:p>
          <w:p>
            <w:pPr>
              <w:widowControl/>
              <w:ind w:left="0" w:leftChars="0" w:right="0" w:rightChars="0"/>
              <w:textAlignment w:val="center"/>
              <w:rPr>
                <w:lang w:bidi="ar"/>
              </w:rPr>
            </w:pPr>
            <w:r>
              <w:rPr>
                <w:lang w:bidi="ar"/>
              </w:rPr>
              <w:t>3.实行规划和建设项目节水评价，强化规划制定、建设项目立项、水资源论证中节水有关内容和要求；规范取水许可管理。</w:t>
            </w:r>
          </w:p>
          <w:p>
            <w:pPr>
              <w:widowControl/>
              <w:ind w:left="0" w:leftChars="0" w:right="0" w:rightChars="0"/>
              <w:textAlignment w:val="center"/>
              <w:rPr>
                <w:szCs w:val="22"/>
              </w:rPr>
            </w:pPr>
            <w:r>
              <w:rPr>
                <w:lang w:bidi="ar"/>
              </w:rPr>
              <w:t>4.保持呼伦湖多年平均湖面水位在542.5米（对应湖面面积2006.5平方公里）以上。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kern w:val="0"/>
                <w:szCs w:val="21"/>
                <w:lang w:bidi="ar"/>
              </w:rPr>
            </w:pPr>
            <w:r>
              <w:rPr>
                <w:kern w:val="0"/>
                <w:szCs w:val="21"/>
                <w:lang w:bidi="ar"/>
              </w:rPr>
              <w:t>ZH15078130001</w:t>
            </w:r>
          </w:p>
        </w:tc>
        <w:tc>
          <w:tcPr>
            <w:tcW w:w="1080" w:type="dxa"/>
            <w:vAlign w:val="center"/>
          </w:tcPr>
          <w:p>
            <w:pPr>
              <w:widowControl/>
              <w:ind w:left="0" w:leftChars="0" w:right="0" w:rightChars="0"/>
              <w:jc w:val="center"/>
              <w:rPr>
                <w:kern w:val="0"/>
                <w:szCs w:val="21"/>
                <w:lang w:bidi="ar"/>
              </w:rPr>
            </w:pPr>
            <w:r>
              <w:rPr>
                <w:rFonts w:hint="eastAsia"/>
                <w:szCs w:val="21"/>
              </w:rPr>
              <w:t>满洲里市一般管控单元</w:t>
            </w:r>
          </w:p>
        </w:tc>
        <w:tc>
          <w:tcPr>
            <w:tcW w:w="985" w:type="dxa"/>
            <w:vAlign w:val="center"/>
          </w:tcPr>
          <w:p>
            <w:pPr>
              <w:widowControl/>
              <w:ind w:left="0" w:leftChars="0" w:right="0" w:rightChars="0"/>
              <w:jc w:val="center"/>
              <w:rPr>
                <w:szCs w:val="21"/>
              </w:rPr>
            </w:pPr>
            <w:r>
              <w:rPr>
                <w:szCs w:val="21"/>
              </w:rPr>
              <w:t>一般管控单元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691" w:type="dxa"/>
            <w:vAlign w:val="center"/>
          </w:tcPr>
          <w:p>
            <w:pPr>
              <w:widowControl/>
              <w:ind w:left="0" w:leftChars="0" w:right="0" w:rightChars="0"/>
              <w:textAlignment w:val="center"/>
              <w:rPr>
                <w:szCs w:val="21"/>
              </w:rPr>
            </w:pPr>
            <w:r>
              <w:rPr>
                <w:szCs w:val="21"/>
              </w:rP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rPr>
                <w:szCs w:val="21"/>
              </w:rPr>
            </w:pPr>
            <w:r>
              <w:rPr>
                <w:szCs w:val="21"/>
              </w:rP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43" w:name="_Toc142233279"/>
      <w:r>
        <w:rPr>
          <w:rFonts w:ascii="Times New Roman" w:hAnsi="Times New Roman" w:eastAsia="仿宋_GB2312"/>
        </w:rPr>
        <w:t>（三）呼伦贝尔市牙克石市生态环境准入清单</w:t>
      </w:r>
      <w:bookmarkEnd w:id="43"/>
    </w:p>
    <w:p>
      <w:pPr>
        <w:ind w:left="0" w:leftChars="0" w:right="0" w:rightChars="0"/>
        <w:jc w:val="center"/>
        <w:rPr>
          <w:b/>
          <w:bCs/>
          <w:sz w:val="28"/>
          <w:szCs w:val="28"/>
        </w:rPr>
      </w:pPr>
      <w:r>
        <w:rPr>
          <w:b/>
          <w:bCs/>
          <w:sz w:val="28"/>
          <w:szCs w:val="28"/>
        </w:rPr>
        <w:t>表3呼伦贝尔市牙克石市生态环境准入清单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1589"/>
        <w:gridCol w:w="1366"/>
        <w:gridCol w:w="1094"/>
        <w:gridCol w:w="8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103" w:type="dxa"/>
            <w:vAlign w:val="center"/>
          </w:tcPr>
          <w:p>
            <w:pPr>
              <w:widowControl/>
              <w:ind w:left="0" w:leftChars="0" w:right="0" w:rightChars="0"/>
              <w:jc w:val="center"/>
              <w:rPr>
                <w:b/>
                <w:bCs/>
                <w:szCs w:val="21"/>
              </w:rPr>
            </w:pPr>
            <w:r>
              <w:rPr>
                <w:b/>
                <w:bCs/>
                <w:szCs w:val="21"/>
              </w:rPr>
              <w:t>环境管控单元编码</w:t>
            </w:r>
          </w:p>
        </w:tc>
        <w:tc>
          <w:tcPr>
            <w:tcW w:w="1069" w:type="dxa"/>
            <w:vAlign w:val="center"/>
          </w:tcPr>
          <w:p>
            <w:pPr>
              <w:widowControl/>
              <w:ind w:left="0" w:leftChars="0" w:right="0" w:rightChars="0"/>
              <w:jc w:val="center"/>
              <w:rPr>
                <w:b/>
                <w:bCs/>
                <w:szCs w:val="21"/>
              </w:rPr>
            </w:pPr>
            <w:r>
              <w:rPr>
                <w:b/>
                <w:bCs/>
                <w:szCs w:val="21"/>
              </w:rPr>
              <w:t>环境管控单元名称</w:t>
            </w:r>
          </w:p>
        </w:tc>
        <w:tc>
          <w:tcPr>
            <w:tcW w:w="919" w:type="dxa"/>
            <w:vAlign w:val="center"/>
          </w:tcPr>
          <w:p>
            <w:pPr>
              <w:widowControl/>
              <w:ind w:left="0" w:leftChars="0" w:right="0" w:rightChars="0"/>
              <w:jc w:val="center"/>
              <w:rPr>
                <w:b/>
                <w:bCs/>
                <w:szCs w:val="21"/>
              </w:rPr>
            </w:pPr>
            <w:r>
              <w:rPr>
                <w:b/>
                <w:bCs/>
                <w:szCs w:val="21"/>
              </w:rPr>
              <w:t>管控单元类别</w:t>
            </w:r>
          </w:p>
        </w:tc>
        <w:tc>
          <w:tcPr>
            <w:tcW w:w="6444"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ZH15078210001</w:t>
            </w:r>
          </w:p>
        </w:tc>
        <w:tc>
          <w:tcPr>
            <w:tcW w:w="1069" w:type="dxa"/>
            <w:vAlign w:val="center"/>
          </w:tcPr>
          <w:p>
            <w:pPr>
              <w:pStyle w:val="2"/>
              <w:ind w:left="0" w:leftChars="0" w:firstLine="0"/>
              <w:jc w:val="center"/>
            </w:pPr>
            <w:r>
              <w:rPr>
                <w:rFonts w:hint="eastAsia"/>
              </w:rPr>
              <w:t>内蒙古绰尔大峡谷国家森林公园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szCs w:val="21"/>
              </w:rPr>
            </w:pPr>
            <w:r>
              <w:rPr>
                <w:kern w:val="0"/>
                <w:szCs w:val="21"/>
                <w:lang w:bidi="ar"/>
              </w:rPr>
              <w:t>空间布局约束</w:t>
            </w:r>
          </w:p>
        </w:tc>
        <w:tc>
          <w:tcPr>
            <w:tcW w:w="5708"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rPr>
                <w:kern w:val="0"/>
                <w:szCs w:val="21"/>
                <w:lang w:bidi="ar"/>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ZH15078210002</w:t>
            </w:r>
          </w:p>
        </w:tc>
        <w:tc>
          <w:tcPr>
            <w:tcW w:w="1069" w:type="dxa"/>
            <w:vAlign w:val="center"/>
          </w:tcPr>
          <w:p>
            <w:pPr>
              <w:pStyle w:val="2"/>
              <w:ind w:left="0" w:leftChars="0" w:firstLine="0"/>
              <w:jc w:val="center"/>
            </w:pPr>
            <w:r>
              <w:rPr>
                <w:rFonts w:hint="eastAsia"/>
              </w:rPr>
              <w:t>内蒙古乌尔旗汉国家森林公园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rPr>
                <w:kern w:val="0"/>
                <w:szCs w:val="21"/>
                <w:lang w:bidi="ar"/>
              </w:rP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3" w:type="dxa"/>
            <w:vAlign w:val="center"/>
          </w:tcPr>
          <w:p>
            <w:pPr>
              <w:pStyle w:val="2"/>
              <w:ind w:left="0" w:leftChars="0" w:firstLine="0"/>
              <w:jc w:val="center"/>
            </w:pPr>
            <w:r>
              <w:rPr>
                <w:rFonts w:hint="eastAsia"/>
              </w:rPr>
              <w:t>ZH15078210003</w:t>
            </w:r>
          </w:p>
        </w:tc>
        <w:tc>
          <w:tcPr>
            <w:tcW w:w="1069" w:type="dxa"/>
            <w:vAlign w:val="center"/>
          </w:tcPr>
          <w:p>
            <w:pPr>
              <w:widowControl/>
              <w:ind w:left="0" w:leftChars="0" w:right="0" w:rightChars="0"/>
              <w:jc w:val="center"/>
            </w:pPr>
            <w:r>
              <w:rPr>
                <w:rFonts w:hint="eastAsia"/>
              </w:rPr>
              <w:t>内蒙古绰源国家森林公园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rPr>
                <w:kern w:val="0"/>
                <w:szCs w:val="21"/>
                <w:lang w:bidi="ar"/>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ZH15078210004</w:t>
            </w:r>
          </w:p>
        </w:tc>
        <w:tc>
          <w:tcPr>
            <w:tcW w:w="1069" w:type="dxa"/>
            <w:vAlign w:val="center"/>
          </w:tcPr>
          <w:p>
            <w:pPr>
              <w:widowControl/>
              <w:ind w:left="0" w:leftChars="0" w:right="0" w:rightChars="0"/>
              <w:jc w:val="center"/>
            </w:pPr>
            <w:r>
              <w:rPr>
                <w:rFonts w:hint="eastAsia"/>
              </w:rPr>
              <w:t>大兴安岭水源涵养和生物多样性维护生态保护红线</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p>
          <w:p>
            <w:pPr>
              <w:widowControl/>
              <w:ind w:left="0" w:leftChars="0" w:right="0" w:rightChars="0"/>
              <w:textAlignment w:val="center"/>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4.禁止生物多样性维护生态功能区的大规模水电开发和林纸一体化产业发展。</w:t>
            </w:r>
          </w:p>
          <w:p>
            <w:pPr>
              <w:widowControl/>
              <w:ind w:left="0" w:leftChars="0" w:right="0" w:rightChars="0"/>
              <w:textAlignment w:val="center"/>
              <w:rPr>
                <w:kern w:val="0"/>
                <w:szCs w:val="21"/>
                <w:lang w:bidi="ar"/>
              </w:rP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ZH15078210005</w:t>
            </w:r>
          </w:p>
        </w:tc>
        <w:tc>
          <w:tcPr>
            <w:tcW w:w="1069" w:type="dxa"/>
            <w:vAlign w:val="center"/>
          </w:tcPr>
          <w:p>
            <w:pPr>
              <w:widowControl/>
              <w:ind w:left="0" w:leftChars="0" w:right="0" w:rightChars="0"/>
              <w:jc w:val="center"/>
            </w:pPr>
            <w:r>
              <w:rPr>
                <w:rFonts w:hint="eastAsia"/>
              </w:rPr>
              <w:t>牙克石市水源地</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rPr>
                <w:kern w:val="0"/>
                <w:szCs w:val="21"/>
                <w:lang w:bidi="ar"/>
              </w:rP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ZH15078210006</w:t>
            </w:r>
          </w:p>
        </w:tc>
        <w:tc>
          <w:tcPr>
            <w:tcW w:w="1069" w:type="dxa"/>
            <w:vAlign w:val="center"/>
          </w:tcPr>
          <w:p>
            <w:pPr>
              <w:pStyle w:val="2"/>
              <w:ind w:left="0" w:leftChars="0" w:firstLine="0"/>
              <w:jc w:val="center"/>
            </w:pPr>
            <w:r>
              <w:rPr>
                <w:rFonts w:hint="eastAsia"/>
              </w:rPr>
              <w:t>牙克石市水源地</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t>5. 在饮用水水源一级保护区内已建成的与供水设施和保护水源无关的建设项目，由旗县级以上人民政府责令拆除或者关闭。</w:t>
            </w:r>
          </w:p>
          <w:p>
            <w:pPr>
              <w:pStyle w:val="2"/>
              <w:ind w:left="0" w:leftChars="0" w:firstLine="0"/>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3" w:type="dxa"/>
            <w:vAlign w:val="center"/>
          </w:tcPr>
          <w:p>
            <w:pPr>
              <w:pStyle w:val="2"/>
              <w:ind w:left="0" w:leftChars="0" w:firstLine="0"/>
              <w:jc w:val="center"/>
            </w:pPr>
            <w:r>
              <w:rPr>
                <w:rFonts w:hint="eastAsia"/>
              </w:rPr>
              <w:t>ZH15078210007</w:t>
            </w:r>
          </w:p>
        </w:tc>
        <w:tc>
          <w:tcPr>
            <w:tcW w:w="1069" w:type="dxa"/>
            <w:vAlign w:val="center"/>
          </w:tcPr>
          <w:p>
            <w:pPr>
              <w:pStyle w:val="2"/>
              <w:ind w:left="0" w:leftChars="0" w:firstLine="0"/>
              <w:jc w:val="center"/>
            </w:pPr>
            <w:r>
              <w:rPr>
                <w:rFonts w:hint="eastAsia"/>
              </w:rPr>
              <w:t>内蒙古巴林雅鲁河国家湿地公园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ZH15078210008</w:t>
            </w:r>
          </w:p>
        </w:tc>
        <w:tc>
          <w:tcPr>
            <w:tcW w:w="1069" w:type="dxa"/>
            <w:vAlign w:val="center"/>
          </w:tcPr>
          <w:p>
            <w:pPr>
              <w:pStyle w:val="2"/>
              <w:ind w:left="0" w:leftChars="0" w:firstLine="0"/>
              <w:jc w:val="center"/>
            </w:pPr>
            <w:r>
              <w:rPr>
                <w:rFonts w:hint="eastAsia"/>
              </w:rPr>
              <w:t>内蒙古绰源国家湿地公园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ZH15078210009</w:t>
            </w:r>
          </w:p>
        </w:tc>
        <w:tc>
          <w:tcPr>
            <w:tcW w:w="1069" w:type="dxa"/>
            <w:vAlign w:val="center"/>
          </w:tcPr>
          <w:p>
            <w:pPr>
              <w:pStyle w:val="2"/>
              <w:ind w:left="0" w:leftChars="0" w:firstLine="0"/>
              <w:jc w:val="center"/>
            </w:pPr>
            <w:r>
              <w:rPr>
                <w:rFonts w:hint="eastAsia"/>
              </w:rPr>
              <w:t>内蒙古呼伦贝尔银岭河国家湿地公园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ZH15078210010</w:t>
            </w:r>
          </w:p>
        </w:tc>
        <w:tc>
          <w:tcPr>
            <w:tcW w:w="1069" w:type="dxa"/>
            <w:vAlign w:val="center"/>
          </w:tcPr>
          <w:p>
            <w:pPr>
              <w:pStyle w:val="2"/>
              <w:ind w:left="0" w:leftChars="0" w:firstLine="0"/>
              <w:jc w:val="center"/>
            </w:pPr>
            <w:r>
              <w:rPr>
                <w:rFonts w:hint="eastAsia"/>
              </w:rPr>
              <w:t>内蒙古库都尔河国家湿地公园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3" w:type="dxa"/>
            <w:vAlign w:val="center"/>
          </w:tcPr>
          <w:p>
            <w:pPr>
              <w:pStyle w:val="2"/>
              <w:ind w:left="0" w:leftChars="0" w:firstLine="0"/>
              <w:jc w:val="center"/>
            </w:pPr>
            <w:r>
              <w:rPr>
                <w:rFonts w:hint="eastAsia"/>
              </w:rPr>
              <w:t>ZH15078210011</w:t>
            </w:r>
          </w:p>
        </w:tc>
        <w:tc>
          <w:tcPr>
            <w:tcW w:w="1069" w:type="dxa"/>
            <w:vAlign w:val="center"/>
          </w:tcPr>
          <w:p>
            <w:pPr>
              <w:pStyle w:val="2"/>
              <w:ind w:left="0" w:leftChars="0" w:firstLine="0"/>
              <w:jc w:val="center"/>
            </w:pPr>
            <w:r>
              <w:rPr>
                <w:rFonts w:hint="eastAsia"/>
              </w:rPr>
              <w:t>内蒙古喇嘛山国家森林公园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rPr>
                <w:kern w:val="0"/>
                <w:szCs w:val="21"/>
                <w:lang w:bidi="ar"/>
              </w:rP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ZH15078210012</w:t>
            </w:r>
          </w:p>
        </w:tc>
        <w:tc>
          <w:tcPr>
            <w:tcW w:w="1069" w:type="dxa"/>
            <w:vAlign w:val="center"/>
          </w:tcPr>
          <w:p>
            <w:pPr>
              <w:pStyle w:val="2"/>
              <w:ind w:left="0" w:leftChars="0" w:firstLine="0"/>
              <w:jc w:val="center"/>
            </w:pPr>
            <w:r>
              <w:rPr>
                <w:rFonts w:hint="eastAsia"/>
              </w:rPr>
              <w:t>内蒙古免渡河国家湿地公园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ZH15078210013</w:t>
            </w:r>
          </w:p>
        </w:tc>
        <w:tc>
          <w:tcPr>
            <w:tcW w:w="1069" w:type="dxa"/>
            <w:vAlign w:val="center"/>
          </w:tcPr>
          <w:p>
            <w:pPr>
              <w:pStyle w:val="2"/>
              <w:ind w:left="0" w:leftChars="0" w:firstLine="0"/>
              <w:jc w:val="center"/>
            </w:pPr>
            <w:r>
              <w:rPr>
                <w:rFonts w:hint="eastAsia"/>
              </w:rPr>
              <w:t>内蒙古免渡河国家湿地公园（呼伦贝尔市牙克石市水源地）</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w:t>
            </w:r>
            <w:r>
              <w:t>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rPr>
                <w:rFonts w:hint="eastAsia"/>
              </w:rPr>
              <w:t>5</w:t>
            </w:r>
            <w:r>
              <w:t>.在饮用水水源二级保护区内，除饮用水水源准保护区内禁止的行为外，还禁止下列行为：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rPr>
                <w:rFonts w:hint="eastAsia"/>
              </w:rPr>
              <w:t>6</w:t>
            </w:r>
            <w:r>
              <w:t>.在饮用水水源一级保护区内，除饮用水水源准保护区、二级保护区内禁止的行为外，还禁止下列行为：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rPr>
                <w:rFonts w:hint="eastAsia"/>
              </w:rPr>
              <w:t>7</w:t>
            </w:r>
            <w: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rPr>
                <w:rFonts w:hint="eastAsia"/>
              </w:rPr>
              <w:t>8</w:t>
            </w:r>
            <w:r>
              <w:t>. 在饮用水水源一级保护区内已建成的与供水设施和保护水源无关的建设项目，由旗县级以上人民政府责令拆除或者关闭。</w:t>
            </w:r>
          </w:p>
          <w:p>
            <w:pPr>
              <w:widowControl/>
              <w:ind w:left="0" w:leftChars="0" w:right="0" w:rightChars="0"/>
              <w:jc w:val="left"/>
              <w:textAlignment w:val="center"/>
              <w:rPr>
                <w:kern w:val="0"/>
                <w:szCs w:val="21"/>
                <w:lang w:bidi="ar"/>
              </w:rPr>
            </w:pPr>
            <w:r>
              <w:rPr>
                <w:rFonts w:hint="eastAsia"/>
              </w:rPr>
              <w:t>9.在生态保护红线内的有限人为活动管理要求按照《自然资源部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ZH15078210014</w:t>
            </w:r>
          </w:p>
        </w:tc>
        <w:tc>
          <w:tcPr>
            <w:tcW w:w="1069" w:type="dxa"/>
            <w:vAlign w:val="center"/>
          </w:tcPr>
          <w:p>
            <w:pPr>
              <w:pStyle w:val="2"/>
              <w:ind w:left="0" w:leftChars="0" w:firstLine="0"/>
              <w:jc w:val="center"/>
            </w:pPr>
            <w:r>
              <w:rPr>
                <w:rFonts w:hint="eastAsia"/>
              </w:rPr>
              <w:t>内蒙古免渡河国家湿地公园（牙克石市棚改新区集中式饮用水水源地）</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w:t>
            </w:r>
            <w:r>
              <w:t>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rPr>
                <w:rFonts w:hint="eastAsia"/>
              </w:rPr>
              <w:t>5</w:t>
            </w:r>
            <w:r>
              <w:t>.在饮用水水源二级保护区内，除饮用水水源准保护区内禁止的行为外，还禁止下列行为：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rPr>
                <w:rFonts w:hint="eastAsia"/>
              </w:rPr>
              <w:t>6</w:t>
            </w:r>
            <w:r>
              <w:t>.在饮用水水源一级保护区内，除饮用水水源准保护区、二级保护区内禁止的行为外，还禁止下列行为：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rPr>
                <w:rFonts w:hint="eastAsia"/>
              </w:rPr>
              <w:t>7</w:t>
            </w:r>
            <w: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rPr>
                <w:rFonts w:hint="eastAsia"/>
              </w:rPr>
              <w:t>8</w:t>
            </w:r>
            <w:r>
              <w:t>. 在饮用水水源一级保护区内已建成的与供水设施和保护水源无关的建设项目，由旗县级以上人民政府责令拆除或者关闭。</w:t>
            </w:r>
          </w:p>
          <w:p>
            <w:pPr>
              <w:widowControl/>
              <w:ind w:left="0" w:leftChars="0" w:right="0" w:rightChars="0"/>
              <w:jc w:val="left"/>
              <w:textAlignment w:val="center"/>
              <w:rPr>
                <w:kern w:val="0"/>
                <w:szCs w:val="21"/>
                <w:lang w:bidi="ar"/>
              </w:rPr>
            </w:pPr>
            <w:r>
              <w:rPr>
                <w:rFonts w:hint="eastAsia"/>
              </w:rPr>
              <w:t>9.在生态保护红线内的有限人为活动管理要求按照《自然资源部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3" w:type="dxa"/>
            <w:vAlign w:val="center"/>
          </w:tcPr>
          <w:p>
            <w:pPr>
              <w:pStyle w:val="2"/>
              <w:ind w:left="0" w:leftChars="0" w:firstLine="0"/>
              <w:jc w:val="center"/>
            </w:pPr>
            <w:r>
              <w:rPr>
                <w:rFonts w:hint="eastAsia"/>
              </w:rPr>
              <w:t>ZH15078210015</w:t>
            </w:r>
          </w:p>
        </w:tc>
        <w:tc>
          <w:tcPr>
            <w:tcW w:w="1069" w:type="dxa"/>
            <w:vAlign w:val="center"/>
          </w:tcPr>
          <w:p>
            <w:pPr>
              <w:pStyle w:val="2"/>
              <w:ind w:left="0" w:leftChars="0" w:firstLine="0"/>
              <w:jc w:val="center"/>
            </w:pPr>
            <w:r>
              <w:rPr>
                <w:rFonts w:hint="eastAsia"/>
              </w:rPr>
              <w:t>内蒙古南木雅克河国家湿地公园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widowControl/>
              <w:ind w:left="0" w:leftChars="0" w:right="0" w:rightChars="0"/>
              <w:textAlignment w:val="center"/>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ZH15078210016</w:t>
            </w:r>
          </w:p>
        </w:tc>
        <w:tc>
          <w:tcPr>
            <w:tcW w:w="1069" w:type="dxa"/>
            <w:vAlign w:val="center"/>
          </w:tcPr>
          <w:p>
            <w:pPr>
              <w:pStyle w:val="2"/>
              <w:ind w:left="0" w:leftChars="0" w:firstLine="0"/>
              <w:jc w:val="center"/>
            </w:pPr>
            <w:r>
              <w:rPr>
                <w:rFonts w:hint="eastAsia"/>
              </w:rPr>
              <w:t>内蒙古图里河国家湿地公园</w:t>
            </w:r>
          </w:p>
          <w:p>
            <w:pPr>
              <w:pStyle w:val="2"/>
            </w:pP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ZH15078210017</w:t>
            </w:r>
          </w:p>
        </w:tc>
        <w:tc>
          <w:tcPr>
            <w:tcW w:w="1069" w:type="dxa"/>
            <w:vAlign w:val="center"/>
          </w:tcPr>
          <w:p>
            <w:pPr>
              <w:pStyle w:val="2"/>
              <w:ind w:left="0" w:leftChars="0" w:firstLine="0"/>
              <w:jc w:val="center"/>
            </w:pPr>
            <w:r>
              <w:rPr>
                <w:rFonts w:hint="eastAsia"/>
              </w:rPr>
              <w:t>内蒙古乌尔旗汗大雁河自治区湿地公园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ZH15078210018</w:t>
            </w:r>
          </w:p>
        </w:tc>
        <w:tc>
          <w:tcPr>
            <w:tcW w:w="1069" w:type="dxa"/>
            <w:vAlign w:val="center"/>
          </w:tcPr>
          <w:p>
            <w:pPr>
              <w:pStyle w:val="2"/>
              <w:ind w:left="0" w:leftChars="0" w:firstLine="0"/>
              <w:jc w:val="center"/>
            </w:pPr>
            <w:r>
              <w:rPr>
                <w:rFonts w:hint="eastAsia"/>
              </w:rPr>
              <w:t>内蒙古乌奴耳长寿湖国家湿地公园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3" w:type="dxa"/>
            <w:vAlign w:val="center"/>
          </w:tcPr>
          <w:p>
            <w:pPr>
              <w:widowControl/>
              <w:ind w:left="0" w:leftChars="0" w:right="0" w:rightChars="0"/>
              <w:jc w:val="center"/>
            </w:pPr>
            <w:r>
              <w:rPr>
                <w:rFonts w:hint="eastAsia"/>
              </w:rPr>
              <w:t>ZH15078210019</w:t>
            </w:r>
          </w:p>
        </w:tc>
        <w:tc>
          <w:tcPr>
            <w:tcW w:w="1069" w:type="dxa"/>
            <w:vAlign w:val="center"/>
          </w:tcPr>
          <w:p>
            <w:pPr>
              <w:widowControl/>
              <w:ind w:left="0" w:leftChars="0" w:right="0" w:rightChars="0"/>
              <w:jc w:val="center"/>
            </w:pPr>
            <w:r>
              <w:rPr>
                <w:rFonts w:hint="eastAsia"/>
              </w:rPr>
              <w:t>内蒙古兴安里自治区级自然保护区</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pStyle w:val="2"/>
              <w:ind w:left="0" w:leftChars="0" w:right="0" w:rightChars="0" w:firstLine="0"/>
              <w:rPr>
                <w:kern w:val="0"/>
              </w:rPr>
            </w:pPr>
            <w:r>
              <w:rPr>
                <w:kern w:val="0"/>
              </w:rPr>
              <w:t>2.因教学科研的目的，需要进入自然保护区的缓冲区从事非破坏性的科学研究、教学实习和标本采集活动的，应当事先向自然保护区管理机构提交申请和活动计划，经自然保护区管理机构批准。</w:t>
            </w:r>
          </w:p>
          <w:p>
            <w:pPr>
              <w:pStyle w:val="2"/>
              <w:ind w:left="0" w:leftChars="0" w:right="0" w:rightChars="0" w:firstLine="0"/>
              <w:rPr>
                <w:kern w:val="0"/>
              </w:rPr>
            </w:pPr>
            <w:r>
              <w:rPr>
                <w:rFonts w:hint="eastAsia"/>
                <w:kern w:val="0"/>
              </w:rPr>
              <w:t>3</w:t>
            </w:r>
            <w:r>
              <w:rPr>
                <w:kern w:val="0"/>
              </w:rPr>
              <w:t>.任何单位和个人不得破坏或者擅自移动自然保护区界标。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pStyle w:val="2"/>
              <w:ind w:left="0" w:leftChars="0" w:right="0" w:rightChars="0" w:firstLine="0"/>
              <w:rPr>
                <w:kern w:val="0"/>
              </w:rPr>
            </w:pPr>
            <w:r>
              <w:rPr>
                <w:rFonts w:hint="eastAsia"/>
                <w:kern w:val="0"/>
              </w:rPr>
              <w:t>6</w:t>
            </w:r>
            <w:r>
              <w:rPr>
                <w:kern w:val="0"/>
              </w:rPr>
              <w:t>.在实验区从事科研、教学、采集标本、参观、旅游活动的单位或者个人，应当遵守自然保护区管理的有关规定。</w:t>
            </w:r>
          </w:p>
          <w:p>
            <w:pPr>
              <w:widowControl/>
              <w:ind w:left="0" w:leftChars="0" w:right="0" w:rightChars="0"/>
              <w:textAlignment w:val="center"/>
            </w:pPr>
            <w:r>
              <w:rPr>
                <w:rFonts w:hint="eastAsia"/>
                <w:kern w:val="0"/>
              </w:rPr>
              <w:t>7</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kern w:val="0"/>
                <w:szCs w:val="21"/>
              </w:rPr>
              <w:t>8.</w:t>
            </w:r>
            <w:r>
              <w:rPr>
                <w:rFonts w:hint="eastAsia"/>
              </w:rPr>
              <w:t>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ZH15078210020</w:t>
            </w:r>
          </w:p>
        </w:tc>
        <w:tc>
          <w:tcPr>
            <w:tcW w:w="1069" w:type="dxa"/>
            <w:vAlign w:val="center"/>
          </w:tcPr>
          <w:p>
            <w:pPr>
              <w:pStyle w:val="2"/>
              <w:ind w:left="0" w:leftChars="0" w:firstLine="0"/>
              <w:jc w:val="center"/>
            </w:pPr>
            <w:r>
              <w:rPr>
                <w:rFonts w:hint="eastAsia"/>
              </w:rPr>
              <w:t>内蒙古兴安岭自治区森林公园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rPr>
                <w:kern w:val="0"/>
                <w:szCs w:val="21"/>
                <w:lang w:bidi="ar"/>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pStyle w:val="2"/>
              <w:ind w:left="0" w:leftChars="0" w:firstLine="0"/>
              <w:jc w:val="center"/>
            </w:pPr>
            <w:r>
              <w:rPr>
                <w:rFonts w:hint="eastAsia"/>
              </w:rPr>
              <w:t>ZH15078210021</w:t>
            </w:r>
          </w:p>
        </w:tc>
        <w:tc>
          <w:tcPr>
            <w:tcW w:w="1069" w:type="dxa"/>
            <w:vAlign w:val="center"/>
          </w:tcPr>
          <w:p>
            <w:pPr>
              <w:pStyle w:val="2"/>
              <w:ind w:left="0" w:leftChars="0" w:firstLine="0"/>
              <w:jc w:val="center"/>
            </w:pPr>
            <w:r>
              <w:rPr>
                <w:rFonts w:hint="eastAsia"/>
              </w:rPr>
              <w:t>内蒙古牙克石市乌里西自治区湿地公园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03" w:type="dxa"/>
            <w:vAlign w:val="center"/>
          </w:tcPr>
          <w:p>
            <w:pPr>
              <w:pStyle w:val="2"/>
              <w:ind w:left="0" w:leftChars="0" w:firstLine="0"/>
              <w:jc w:val="center"/>
            </w:pPr>
            <w:r>
              <w:rPr>
                <w:rFonts w:hint="eastAsia"/>
              </w:rPr>
              <w:t>ZH15078210022</w:t>
            </w:r>
          </w:p>
        </w:tc>
        <w:tc>
          <w:tcPr>
            <w:tcW w:w="1069" w:type="dxa"/>
            <w:vAlign w:val="center"/>
          </w:tcPr>
          <w:p>
            <w:pPr>
              <w:pStyle w:val="2"/>
              <w:ind w:left="0" w:leftChars="0" w:firstLine="0"/>
              <w:jc w:val="center"/>
            </w:pPr>
            <w:r>
              <w:rPr>
                <w:rFonts w:hint="eastAsia"/>
              </w:rPr>
              <w:t>内蒙古牙克石市西郊自治区湿地公园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widowControl/>
              <w:ind w:left="0" w:leftChars="0" w:right="0" w:rightChars="0"/>
              <w:jc w:val="center"/>
            </w:pPr>
            <w:r>
              <w:rPr>
                <w:rFonts w:hint="eastAsia"/>
              </w:rPr>
              <w:t>ZH15078210023</w:t>
            </w:r>
          </w:p>
        </w:tc>
        <w:tc>
          <w:tcPr>
            <w:tcW w:w="1069" w:type="dxa"/>
            <w:vAlign w:val="center"/>
          </w:tcPr>
          <w:p>
            <w:pPr>
              <w:widowControl/>
              <w:ind w:left="0" w:leftChars="0" w:right="0" w:rightChars="0"/>
              <w:jc w:val="center"/>
            </w:pPr>
            <w:r>
              <w:rPr>
                <w:rFonts w:hint="eastAsia"/>
              </w:rPr>
              <w:t>内蒙古伊图里河国家湿地公园</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widowControl/>
              <w:ind w:left="0" w:leftChars="0" w:right="0" w:rightChars="0"/>
              <w:jc w:val="center"/>
            </w:pPr>
            <w:r>
              <w:rPr>
                <w:rFonts w:hint="eastAsia"/>
              </w:rPr>
              <w:t>ZH15078210024</w:t>
            </w:r>
          </w:p>
        </w:tc>
        <w:tc>
          <w:tcPr>
            <w:tcW w:w="1069" w:type="dxa"/>
            <w:vAlign w:val="center"/>
          </w:tcPr>
          <w:p>
            <w:pPr>
              <w:widowControl/>
              <w:ind w:left="0" w:leftChars="0" w:right="0" w:rightChars="0"/>
              <w:jc w:val="center"/>
            </w:pPr>
            <w:r>
              <w:rPr>
                <w:rFonts w:hint="eastAsia"/>
              </w:rPr>
              <w:t>牙克石市棚改新区集中式饮用水水源地</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widowControl/>
              <w:ind w:left="0" w:leftChars="0" w:right="0" w:rightChars="0"/>
              <w:jc w:val="center"/>
            </w:pPr>
            <w:r>
              <w:rPr>
                <w:rFonts w:hint="eastAsia"/>
              </w:rPr>
              <w:t>ZH15078210025</w:t>
            </w:r>
          </w:p>
        </w:tc>
        <w:tc>
          <w:tcPr>
            <w:tcW w:w="1069" w:type="dxa"/>
            <w:vAlign w:val="center"/>
          </w:tcPr>
          <w:p>
            <w:pPr>
              <w:widowControl/>
              <w:ind w:left="0" w:leftChars="0" w:right="0" w:rightChars="0"/>
              <w:jc w:val="center"/>
            </w:pPr>
            <w:r>
              <w:rPr>
                <w:rFonts w:hint="eastAsia"/>
              </w:rPr>
              <w:t>牙克石市棚改新区集中式饮用水水源地</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 在饮用水水源一级保护区内已建成的与供水设施和保护水源无关的建设项目，由旗县级以上人民政府责令拆除或者关闭。</w:t>
            </w:r>
          </w:p>
          <w:p>
            <w:pPr>
              <w:widowControl/>
              <w:ind w:left="0" w:leftChars="0" w:right="0" w:rightChars="0"/>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Align w:val="center"/>
          </w:tcPr>
          <w:p>
            <w:pPr>
              <w:widowControl/>
              <w:ind w:left="0" w:leftChars="0" w:right="0" w:rightChars="0"/>
              <w:jc w:val="center"/>
            </w:pPr>
            <w:r>
              <w:rPr>
                <w:rFonts w:hint="eastAsia"/>
              </w:rPr>
              <w:t>ZH15078210026</w:t>
            </w:r>
          </w:p>
        </w:tc>
        <w:tc>
          <w:tcPr>
            <w:tcW w:w="1069" w:type="dxa"/>
            <w:vAlign w:val="center"/>
          </w:tcPr>
          <w:p>
            <w:pPr>
              <w:widowControl/>
              <w:ind w:left="0" w:leftChars="0" w:right="0" w:rightChars="0"/>
              <w:jc w:val="center"/>
            </w:pPr>
            <w:r>
              <w:rPr>
                <w:rFonts w:hint="eastAsia"/>
              </w:rPr>
              <w:t>牙克石市水源涵养生态功能重要区域</w:t>
            </w:r>
          </w:p>
        </w:tc>
        <w:tc>
          <w:tcPr>
            <w:tcW w:w="919" w:type="dxa"/>
            <w:vAlign w:val="center"/>
          </w:tcPr>
          <w:p>
            <w:pPr>
              <w:widowControl/>
              <w:ind w:left="0" w:leftChars="0" w:right="0" w:rightChars="0"/>
              <w:jc w:val="center"/>
              <w:rPr>
                <w:szCs w:val="21"/>
              </w:rPr>
            </w:pPr>
            <w:r>
              <w:rPr>
                <w:szCs w:val="21"/>
              </w:rPr>
              <w:t>优先保护单元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pPr>
            <w:r>
              <w:rPr>
                <w:rFonts w:hint="eastAsia"/>
              </w:rPr>
              <w:t>3.海拉尔区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restart"/>
            <w:vAlign w:val="center"/>
          </w:tcPr>
          <w:p>
            <w:pPr>
              <w:widowControl/>
              <w:ind w:left="0" w:leftChars="0" w:right="0" w:rightChars="0"/>
              <w:jc w:val="center"/>
            </w:pPr>
            <w:r>
              <w:rPr>
                <w:rFonts w:eastAsia="宋体"/>
                <w:kern w:val="0"/>
                <w:szCs w:val="21"/>
                <w:lang w:bidi="ar"/>
              </w:rPr>
              <w:t>ZH15078220001</w:t>
            </w:r>
          </w:p>
        </w:tc>
        <w:tc>
          <w:tcPr>
            <w:tcW w:w="1069" w:type="dxa"/>
            <w:vMerge w:val="restart"/>
            <w:vAlign w:val="center"/>
          </w:tcPr>
          <w:p>
            <w:pPr>
              <w:widowControl/>
              <w:ind w:left="0" w:leftChars="0" w:right="0" w:rightChars="0"/>
              <w:jc w:val="center"/>
            </w:pPr>
            <w:r>
              <w:rPr>
                <w:kern w:val="0"/>
                <w:szCs w:val="21"/>
                <w:lang w:bidi="ar"/>
              </w:rPr>
              <w:t>内蒙古呼伦贝尔牙克石高新技术产业开发区</w:t>
            </w:r>
          </w:p>
        </w:tc>
        <w:tc>
          <w:tcPr>
            <w:tcW w:w="919" w:type="dxa"/>
            <w:vMerge w:val="restart"/>
            <w:vAlign w:val="center"/>
          </w:tcPr>
          <w:p>
            <w:pPr>
              <w:widowControl/>
              <w:ind w:left="0" w:leftChars="0" w:right="0" w:rightChars="0"/>
              <w:jc w:val="center"/>
              <w:rPr>
                <w:szCs w:val="21"/>
              </w:rPr>
            </w:pPr>
            <w:r>
              <w:rPr>
                <w:szCs w:val="21"/>
              </w:rPr>
              <w:t>重点管控单元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rPr>
                <w:kern w:val="0"/>
                <w:szCs w:val="21"/>
                <w:lang w:bidi="ar"/>
              </w:rPr>
              <w:t>1.非园区产业定位方向的项目一律不得入工业区。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pPr>
          </w:p>
        </w:tc>
        <w:tc>
          <w:tcPr>
            <w:tcW w:w="1069" w:type="dxa"/>
            <w:vMerge w:val="continue"/>
            <w:vAlign w:val="center"/>
          </w:tcPr>
          <w:p>
            <w:pPr>
              <w:widowControl/>
              <w:ind w:left="0" w:leftChars="0" w:right="0" w:rightChars="0"/>
              <w:jc w:val="cente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708" w:type="dxa"/>
            <w:vAlign w:val="center"/>
          </w:tcPr>
          <w:p>
            <w:pPr>
              <w:ind w:left="0" w:leftChars="0" w:right="0" w:rightChars="0"/>
              <w:textAlignment w:val="center"/>
              <w:rPr>
                <w:kern w:val="0"/>
                <w:szCs w:val="21"/>
                <w:lang w:bidi="ar"/>
              </w:rPr>
            </w:pPr>
            <w:r>
              <w:rPr>
                <w:kern w:val="0"/>
                <w:szCs w:val="21"/>
                <w:lang w:bidi="ar"/>
              </w:rPr>
              <w:t>1.按“雨污分流、清污分流、中水回用”的要求，加快污水处理厂及污水管网等配套工程的建设，确保工业区生产废水、生活污水全部入网、统一处理后进行回用。</w:t>
            </w:r>
          </w:p>
          <w:p>
            <w:pPr>
              <w:ind w:left="0" w:leftChars="0" w:right="0" w:rightChars="0"/>
              <w:textAlignment w:val="center"/>
              <w:rPr>
                <w:kern w:val="0"/>
                <w:szCs w:val="21"/>
                <w:lang w:bidi="ar"/>
              </w:rPr>
            </w:pPr>
            <w:r>
              <w:rPr>
                <w:kern w:val="0"/>
                <w:szCs w:val="21"/>
                <w:lang w:bidi="ar"/>
              </w:rPr>
              <w:t>2.建设产业园集中供热中心及供热管网，新入工业区企业不得自建采暖锅炉，入工业区企业工艺废气须经有效处理后达标排放，并严格控制各类废气无组织排放，尽可能变无组织为有组织排放。</w:t>
            </w:r>
          </w:p>
          <w:p>
            <w:pPr>
              <w:widowControl/>
              <w:ind w:left="0" w:leftChars="0" w:right="0" w:rightChars="0"/>
              <w:textAlignment w:val="center"/>
            </w:pPr>
            <w:r>
              <w:rPr>
                <w:kern w:val="0"/>
                <w:szCs w:val="21"/>
                <w:lang w:bidi="ar"/>
              </w:rPr>
              <w:t>3.建立统一的固废收集、贮存、运输、综合利用和安全处置的运营管理体系，危险废物要运至有资质的单位处置。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pPr>
          </w:p>
        </w:tc>
        <w:tc>
          <w:tcPr>
            <w:tcW w:w="1069" w:type="dxa"/>
            <w:vMerge w:val="continue"/>
            <w:vAlign w:val="center"/>
          </w:tcPr>
          <w:p>
            <w:pPr>
              <w:widowControl/>
              <w:ind w:left="0" w:leftChars="0" w:right="0" w:rightChars="0"/>
              <w:jc w:val="cente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textAlignment w:val="center"/>
              <w:rPr>
                <w:kern w:val="0"/>
                <w:szCs w:val="21"/>
                <w:lang w:bidi="ar"/>
              </w:rPr>
            </w:pPr>
            <w:r>
              <w:rPr>
                <w:szCs w:val="21"/>
              </w:rPr>
              <w:t>环境风险防控</w:t>
            </w:r>
          </w:p>
        </w:tc>
        <w:tc>
          <w:tcPr>
            <w:tcW w:w="5708" w:type="dxa"/>
            <w:vAlign w:val="center"/>
          </w:tcPr>
          <w:p>
            <w:pPr>
              <w:widowControl/>
              <w:ind w:left="0" w:leftChars="0" w:right="0" w:rightChars="0"/>
              <w:textAlignment w:val="center"/>
            </w:pPr>
            <w:r>
              <w:rPr>
                <w:kern w:val="0"/>
                <w:szCs w:val="21"/>
                <w:lang w:bidi="ar"/>
              </w:rPr>
              <w:t>加强工业区环境安全管理工作，制订危险化学品的登记管理制度，在基础设施和企业生产运营管理中须制定并落实严格的环境风险防范措施和事故应急预案，工业区内各危险化学品库区及使用危险化学品的生产装置周边须设置物料泄漏应急截流沟，防止泄漏物料进入环境，并储备事故应急设备物资，定期组织实战演练，确保工业区环境安全。污水处理厂及排放工业废水的企业均须设置足够容量的事故污水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pPr>
          </w:p>
        </w:tc>
        <w:tc>
          <w:tcPr>
            <w:tcW w:w="1069" w:type="dxa"/>
            <w:vMerge w:val="continue"/>
            <w:vAlign w:val="center"/>
          </w:tcPr>
          <w:p>
            <w:pPr>
              <w:widowControl/>
              <w:ind w:left="0" w:leftChars="0" w:right="0" w:rightChars="0"/>
              <w:jc w:val="cente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708" w:type="dxa"/>
            <w:vAlign w:val="center"/>
          </w:tcPr>
          <w:p>
            <w:pPr>
              <w:widowControl/>
              <w:ind w:left="0" w:leftChars="0" w:right="0" w:rightChars="0"/>
              <w:textAlignment w:val="center"/>
            </w:pPr>
            <w:r>
              <w:rPr>
                <w:szCs w:val="22"/>
              </w:rPr>
              <w:t>1.新、改、扩建的高耗水工业项目，禁止擅自使用地下水。优先配置</w:t>
            </w:r>
            <w:r>
              <w:t>利用中水和疏干水等作为生产水源；具备使用非常规水源条件的园区，限期关闭企业生产用地下水自备水井。</w:t>
            </w:r>
          </w:p>
          <w:p>
            <w:pPr>
              <w:widowControl/>
              <w:ind w:left="0" w:leftChars="0" w:right="0" w:rightChars="0"/>
              <w:textAlignment w:val="center"/>
            </w:pPr>
            <w:r>
              <w:t>2.实行地下水取用水总量控制和水位控制制度。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restart"/>
            <w:vAlign w:val="center"/>
          </w:tcPr>
          <w:p>
            <w:pPr>
              <w:widowControl/>
              <w:ind w:left="0" w:leftChars="0" w:right="0" w:rightChars="0"/>
              <w:jc w:val="center"/>
            </w:pPr>
            <w:r>
              <w:rPr>
                <w:kern w:val="0"/>
                <w:szCs w:val="21"/>
                <w:lang w:bidi="ar"/>
              </w:rPr>
              <w:t>ZH15078220002</w:t>
            </w:r>
          </w:p>
        </w:tc>
        <w:tc>
          <w:tcPr>
            <w:tcW w:w="1069" w:type="dxa"/>
            <w:vMerge w:val="restart"/>
            <w:vAlign w:val="center"/>
          </w:tcPr>
          <w:p>
            <w:pPr>
              <w:widowControl/>
              <w:ind w:left="0" w:leftChars="0" w:right="0" w:rightChars="0"/>
              <w:jc w:val="center"/>
            </w:pPr>
            <w:r>
              <w:rPr>
                <w:kern w:val="0"/>
                <w:szCs w:val="21"/>
                <w:lang w:bidi="ar"/>
              </w:rPr>
              <w:t>牙克石市城镇空间</w:t>
            </w:r>
          </w:p>
        </w:tc>
        <w:tc>
          <w:tcPr>
            <w:tcW w:w="919" w:type="dxa"/>
            <w:vMerge w:val="restart"/>
            <w:vAlign w:val="center"/>
          </w:tcPr>
          <w:p>
            <w:pPr>
              <w:widowControl/>
              <w:ind w:left="0" w:leftChars="0" w:right="0" w:rightChars="0"/>
              <w:jc w:val="center"/>
              <w:rPr>
                <w:szCs w:val="21"/>
              </w:rPr>
            </w:pPr>
            <w:r>
              <w:rPr>
                <w:szCs w:val="21"/>
              </w:rPr>
              <w:t>重点管控单元</w:t>
            </w: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8" w:type="dxa"/>
            <w:vAlign w:val="center"/>
          </w:tcPr>
          <w:p>
            <w:pPr>
              <w:ind w:left="0" w:leftChars="0"/>
              <w:rPr>
                <w:szCs w:val="21"/>
              </w:rPr>
            </w:pPr>
            <w:r>
              <w:rPr>
                <w:szCs w:val="21"/>
              </w:rPr>
              <w:t>1.扩大城镇集中供热覆盖范围，加大燃煤小锅炉淘汰力度，鼓励采取太阳能、风能多能互补清洁取暖，旗市区城市建成区原则上不再新建35t/h</w:t>
            </w:r>
            <w:r>
              <w:rPr>
                <w:rFonts w:hint="eastAsia"/>
                <w:szCs w:val="21"/>
              </w:rPr>
              <w:t>及</w:t>
            </w:r>
            <w:r>
              <w:rPr>
                <w:szCs w:val="21"/>
              </w:rPr>
              <w:t>以下燃煤锅炉。</w:t>
            </w:r>
          </w:p>
          <w:p>
            <w:pPr>
              <w:widowControl/>
              <w:ind w:left="0" w:leftChars="0" w:right="0" w:rightChars="0"/>
              <w:textAlignment w:val="center"/>
            </w:pPr>
            <w:r>
              <w:rPr>
                <w:szCs w:val="21"/>
              </w:rP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pPr>
          </w:p>
        </w:tc>
        <w:tc>
          <w:tcPr>
            <w:tcW w:w="1069" w:type="dxa"/>
            <w:vMerge w:val="continue"/>
            <w:vAlign w:val="center"/>
          </w:tcPr>
          <w:p>
            <w:pPr>
              <w:widowControl/>
              <w:ind w:left="0" w:leftChars="0" w:right="0" w:rightChars="0"/>
              <w:jc w:val="cente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708" w:type="dxa"/>
            <w:vAlign w:val="center"/>
          </w:tcPr>
          <w:p>
            <w:pPr>
              <w:widowControl/>
              <w:ind w:left="0" w:leftChars="0" w:right="0" w:rightChars="0"/>
              <w:textAlignment w:val="center"/>
              <w:rPr>
                <w:szCs w:val="21"/>
              </w:rPr>
            </w:pPr>
            <w:r>
              <w:rPr>
                <w:szCs w:val="21"/>
              </w:rPr>
              <w:t>1.提升城镇生活污水收集管网覆盖率，逐步实施雨污管网分流改造、管网更新、破损修复、中水回用等工程。</w:t>
            </w:r>
          </w:p>
          <w:p>
            <w:pPr>
              <w:widowControl/>
              <w:ind w:left="0" w:leftChars="0" w:right="0" w:rightChars="0"/>
              <w:textAlignment w:val="center"/>
            </w:pPr>
            <w:r>
              <w:rPr>
                <w:szCs w:val="21"/>
              </w:rP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pPr>
          </w:p>
        </w:tc>
        <w:tc>
          <w:tcPr>
            <w:tcW w:w="1069" w:type="dxa"/>
            <w:vMerge w:val="continue"/>
            <w:vAlign w:val="center"/>
          </w:tcPr>
          <w:p>
            <w:pPr>
              <w:widowControl/>
              <w:ind w:left="0" w:leftChars="0" w:right="0" w:rightChars="0"/>
              <w:jc w:val="cente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708" w:type="dxa"/>
            <w:vAlign w:val="center"/>
          </w:tcPr>
          <w:p>
            <w:pPr>
              <w:widowControl/>
              <w:ind w:left="0" w:leftChars="0" w:right="0" w:rightChars="0"/>
              <w:textAlignment w:val="center"/>
              <w:rPr>
                <w:szCs w:val="21"/>
              </w:rPr>
            </w:pPr>
            <w:r>
              <w:rPr>
                <w:rFonts w:hint="eastAsia"/>
                <w:szCs w:val="21"/>
              </w:rPr>
              <w:t>1.</w:t>
            </w:r>
            <w:r>
              <w:rPr>
                <w:szCs w:val="21"/>
              </w:rPr>
              <w:t>高污染燃料禁燃区内任何单位不得新建、扩建高污染燃料燃用设施，不得将其他燃料燃用设施改造为高污染燃料燃用设施。高污染燃料销售单位应按照要求逐步取消禁燃区内的销售网点。对于现有的高污染燃料燃用设施，有关单位和个人应当按照规定予以拆除或者改用电、天然气等清洁能源。</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restart"/>
            <w:vAlign w:val="center"/>
          </w:tcPr>
          <w:p>
            <w:pPr>
              <w:widowControl/>
              <w:ind w:left="0" w:leftChars="0" w:right="0" w:rightChars="0"/>
              <w:jc w:val="center"/>
            </w:pPr>
            <w:r>
              <w:rPr>
                <w:rFonts w:hint="eastAsia"/>
              </w:rPr>
              <w:t>ZH15078220004</w:t>
            </w:r>
          </w:p>
        </w:tc>
        <w:tc>
          <w:tcPr>
            <w:tcW w:w="1069" w:type="dxa"/>
            <w:vMerge w:val="restart"/>
            <w:vAlign w:val="center"/>
          </w:tcPr>
          <w:p>
            <w:pPr>
              <w:widowControl/>
              <w:ind w:left="0" w:leftChars="0" w:right="0" w:rightChars="0"/>
              <w:jc w:val="center"/>
            </w:pPr>
            <w:r>
              <w:rPr>
                <w:rFonts w:hint="eastAsia"/>
              </w:rPr>
              <w:t>牙克石市大雁矿区</w:t>
            </w:r>
          </w:p>
        </w:tc>
        <w:tc>
          <w:tcPr>
            <w:tcW w:w="919" w:type="dxa"/>
            <w:vMerge w:val="restart"/>
            <w:vAlign w:val="center"/>
          </w:tcPr>
          <w:p>
            <w:pPr>
              <w:widowControl/>
              <w:ind w:left="0" w:leftChars="0" w:right="0" w:rightChars="0"/>
              <w:jc w:val="center"/>
              <w:rPr>
                <w:szCs w:val="21"/>
              </w:rPr>
            </w:pPr>
            <w:r>
              <w:rPr>
                <w:szCs w:val="21"/>
              </w:rPr>
              <w:t>重点管控单元</w:t>
            </w:r>
          </w:p>
        </w:tc>
        <w:tc>
          <w:tcPr>
            <w:tcW w:w="736" w:type="dxa"/>
            <w:vAlign w:val="center"/>
          </w:tcPr>
          <w:p>
            <w:pPr>
              <w:widowControl/>
              <w:ind w:left="0" w:leftChars="0" w:right="0" w:rightChars="0"/>
              <w:jc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widowControl/>
              <w:ind w:left="0" w:leftChars="0" w:right="0" w:rightChars="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widowControl/>
              <w:ind w:left="0" w:leftChars="0" w:right="0" w:rightChars="0"/>
              <w:textAlignment w:val="center"/>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污染物排放管控</w:t>
            </w:r>
          </w:p>
        </w:tc>
        <w:tc>
          <w:tcPr>
            <w:tcW w:w="5708"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矿山生态环境保护与治理恢复技术规范（试行）》（</w:t>
            </w:r>
            <w:r>
              <w:t>HJ651</w:t>
            </w:r>
            <w:r>
              <w:rPr>
                <w:szCs w:val="21"/>
              </w:rPr>
              <w:t>-2013）要求。落实边开采、边保护、边复垦的要求，使新建、在建矿山损毁土地得到全面复垦。</w:t>
            </w:r>
          </w:p>
          <w:p>
            <w:pPr>
              <w:widowControl/>
              <w:tabs>
                <w:tab w:val="left" w:pos="312"/>
              </w:tabs>
              <w:jc w:val="left"/>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rFonts w:hint="eastAsia"/>
                <w:szCs w:val="21"/>
              </w:rPr>
              <w:t>3</w:t>
            </w:r>
            <w:r>
              <w:rPr>
                <w:szCs w:val="21"/>
              </w:rPr>
              <w:t>.煤矿地面运煤系统、运输设备、煤炭贮存场所应当全封闭。鼓励有条件的露天矿山采用密闭式皮带</w:t>
            </w:r>
            <w:r>
              <w:t>运输系统</w:t>
            </w:r>
            <w:r>
              <w:rPr>
                <w:szCs w:val="21"/>
              </w:rPr>
              <w:t>，煤炭企业应当负责矿权范围内和排矸场等着火点灭火工作；提高煤矸石、矿井水的综合利用。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szCs w:val="21"/>
              </w:rPr>
              <w:t>环境风险防控</w:t>
            </w:r>
          </w:p>
        </w:tc>
        <w:tc>
          <w:tcPr>
            <w:tcW w:w="5708"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textAlignment w:val="center"/>
              <w:rPr>
                <w:kern w:val="0"/>
                <w:szCs w:val="21"/>
                <w:lang w:bidi="ar"/>
              </w:rPr>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8" w:type="dxa"/>
            <w:vAlign w:val="center"/>
          </w:tcPr>
          <w:p>
            <w:pPr>
              <w:widowControl/>
              <w:ind w:left="0" w:leftChars="0" w:right="0" w:rightChars="0"/>
              <w:textAlignment w:val="center"/>
              <w:rPr>
                <w:szCs w:val="21"/>
              </w:rPr>
            </w:pPr>
            <w:r>
              <w:rPr>
                <w:szCs w:val="21"/>
              </w:rPr>
              <w:t>1</w:t>
            </w:r>
            <w:r>
              <w:rPr>
                <w:rFonts w:hint="eastAsia"/>
                <w:szCs w:val="21"/>
              </w:rPr>
              <w:t>.</w:t>
            </w:r>
            <w:r>
              <w:rPr>
                <w:szCs w:val="21"/>
              </w:rPr>
              <w:t>原煤入选率不低于75%；煤矸石综合利用率应达到75%以上；矿井水、疏干水应采用洁净化、资源化技术和工艺进行合理处置，处置率达到100%。</w:t>
            </w:r>
          </w:p>
          <w:p>
            <w:pPr>
              <w:widowControl/>
              <w:ind w:left="0" w:leftChars="0" w:right="0" w:rightChars="0"/>
              <w:textAlignment w:val="center"/>
              <w:rPr>
                <w:szCs w:val="21"/>
              </w:rPr>
            </w:pPr>
            <w:r>
              <w:rPr>
                <w:szCs w:val="21"/>
              </w:rPr>
              <w:t>2</w:t>
            </w:r>
            <w:r>
              <w:rPr>
                <w:rFonts w:hint="eastAsia"/>
                <w:szCs w:val="21"/>
              </w:rPr>
              <w:t>.</w:t>
            </w:r>
            <w:r>
              <w:rPr>
                <w:szCs w:val="21"/>
              </w:rPr>
              <w:t>煤矿采区回采率、原煤入选率、煤矸石与共伴生矿产资源综合利用率等三项指标符合自然资源部发布的</w:t>
            </w:r>
            <w:r>
              <w:t>《煤炭资源合理开发利用“三率”指标要求（试行）》</w:t>
            </w:r>
            <w:r>
              <w:rPr>
                <w:szCs w:val="21"/>
              </w:rPr>
              <w:t>。</w:t>
            </w:r>
          </w:p>
          <w:p>
            <w:pPr>
              <w:widowControl/>
              <w:ind w:left="0" w:leftChars="0" w:right="0" w:rightChars="0"/>
              <w:textAlignment w:val="center"/>
              <w:rPr>
                <w:kern w:val="0"/>
                <w:szCs w:val="21"/>
                <w:lang w:bidi="ar"/>
              </w:rPr>
            </w:pPr>
            <w:r>
              <w:rPr>
                <w:szCs w:val="21"/>
              </w:rP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restart"/>
            <w:vAlign w:val="center"/>
          </w:tcPr>
          <w:p>
            <w:pPr>
              <w:pStyle w:val="2"/>
              <w:ind w:left="0" w:leftChars="0" w:firstLine="0"/>
              <w:jc w:val="center"/>
            </w:pPr>
            <w:r>
              <w:rPr>
                <w:rFonts w:hint="eastAsia"/>
              </w:rPr>
              <w:t>ZH15078220005</w:t>
            </w:r>
          </w:p>
        </w:tc>
        <w:tc>
          <w:tcPr>
            <w:tcW w:w="1069" w:type="dxa"/>
            <w:vMerge w:val="restart"/>
            <w:vAlign w:val="center"/>
          </w:tcPr>
          <w:p>
            <w:pPr>
              <w:pStyle w:val="2"/>
              <w:ind w:left="0" w:leftChars="0" w:firstLine="0"/>
              <w:jc w:val="center"/>
            </w:pPr>
            <w:r>
              <w:rPr>
                <w:rFonts w:hint="eastAsia"/>
              </w:rPr>
              <w:t>牙克石市非金属矿</w:t>
            </w:r>
          </w:p>
        </w:tc>
        <w:tc>
          <w:tcPr>
            <w:tcW w:w="919" w:type="dxa"/>
            <w:vMerge w:val="restart"/>
            <w:vAlign w:val="center"/>
          </w:tcPr>
          <w:p>
            <w:pPr>
              <w:widowControl/>
              <w:ind w:left="0" w:leftChars="0" w:right="0" w:rightChars="0"/>
              <w:jc w:val="center"/>
              <w:rPr>
                <w:szCs w:val="21"/>
              </w:rPr>
            </w:pPr>
            <w:r>
              <w:rPr>
                <w:szCs w:val="21"/>
              </w:rPr>
              <w:t>重点管控单元</w:t>
            </w:r>
          </w:p>
        </w:tc>
        <w:tc>
          <w:tcPr>
            <w:tcW w:w="736" w:type="dxa"/>
            <w:vAlign w:val="center"/>
          </w:tcPr>
          <w:p>
            <w:pPr>
              <w:widowControl/>
              <w:ind w:left="0" w:leftChars="0" w:right="0" w:rightChars="0"/>
              <w:jc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污染物排放管控</w:t>
            </w:r>
          </w:p>
        </w:tc>
        <w:tc>
          <w:tcPr>
            <w:tcW w:w="5708"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w:t>
            </w:r>
            <w:r>
              <w:t>《矿山生态环境保护与治理恢复技术规范（试行）》</w:t>
            </w:r>
            <w:r>
              <w:rPr>
                <w:szCs w:val="21"/>
              </w:rPr>
              <w:t>（HJ651-2013）要求。落实边开采、边保护、边复垦的要求，使新建、在建矿山损毁土地得到全面复垦。</w:t>
            </w:r>
          </w:p>
          <w:p>
            <w:pPr>
              <w:widowControl/>
              <w:ind w:left="0" w:leftChars="0" w:right="0" w:rightChars="0"/>
              <w:textAlignment w:val="center"/>
              <w:rPr>
                <w:szCs w:val="21"/>
              </w:rPr>
            </w:pPr>
            <w:r>
              <w:rPr>
                <w:szCs w:val="21"/>
              </w:rPr>
              <w:t>2.生产矿山年度占用土地面积与年度治理面积基本</w:t>
            </w:r>
            <w:r>
              <w:t>达到</w:t>
            </w:r>
            <w:r>
              <w:rPr>
                <w:szCs w:val="21"/>
              </w:rPr>
              <w:t>平衡，“三废”排放符合环保指标要求。</w:t>
            </w:r>
          </w:p>
          <w:p>
            <w:pPr>
              <w:widowControl/>
              <w:ind w:left="0" w:leftChars="0" w:right="0" w:rightChars="0"/>
              <w:textAlignment w:val="center"/>
              <w:rPr>
                <w:kern w:val="0"/>
                <w:szCs w:val="21"/>
                <w:lang w:bidi="ar"/>
              </w:rPr>
            </w:pPr>
            <w:r>
              <w:rPr>
                <w:szCs w:val="21"/>
              </w:rPr>
              <w:t>3.</w:t>
            </w:r>
            <w:r>
              <w:rPr>
                <w:rFonts w:hint="eastAsia"/>
                <w:szCs w:val="21"/>
              </w:rPr>
              <w:t>矿山开采企业应当加强精细化管理，采取有效措施</w:t>
            </w:r>
            <w:r>
              <w:rPr>
                <w:rFonts w:hint="eastAsia"/>
              </w:rPr>
              <w:t>防治</w:t>
            </w:r>
            <w:r>
              <w:rPr>
                <w:rFonts w:hint="eastAsia"/>
                <w:szCs w:val="21"/>
              </w:rPr>
              <w:t>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szCs w:val="21"/>
              </w:rPr>
              <w:t>环境风险防控</w:t>
            </w:r>
          </w:p>
        </w:tc>
        <w:tc>
          <w:tcPr>
            <w:tcW w:w="5708" w:type="dxa"/>
            <w:vAlign w:val="center"/>
          </w:tcPr>
          <w:p>
            <w:pPr>
              <w:widowControl/>
              <w:ind w:left="0" w:leftChars="0" w:right="0" w:rightChars="0"/>
              <w:textAlignment w:val="center"/>
              <w:rPr>
                <w:szCs w:val="21"/>
              </w:rPr>
            </w:pPr>
            <w:r>
              <w:rPr>
                <w:szCs w:val="21"/>
              </w:rPr>
              <w:t>1.制定环境风险应急预案，成立应急组织机构，配备必要的应急设施和应急物资，定期开展环境风险应急演练。</w:t>
            </w:r>
          </w:p>
          <w:p>
            <w:pPr>
              <w:widowControl/>
              <w:ind w:left="0" w:leftChars="0" w:right="0" w:rightChars="0"/>
              <w:textAlignment w:val="center"/>
              <w:rPr>
                <w:kern w:val="0"/>
                <w:szCs w:val="21"/>
                <w:lang w:bidi="ar"/>
              </w:rPr>
            </w:pPr>
            <w:r>
              <w:rPr>
                <w:szCs w:val="21"/>
              </w:rPr>
              <w:t>2.全面整治历史遗留尾矿库，完善覆膜、压土、排洪、堤坝加固等隐患治理和闭库措施。有重点监管尾矿库的企业要</w:t>
            </w:r>
            <w:r>
              <w:t>开展</w:t>
            </w:r>
            <w:r>
              <w:rPr>
                <w:szCs w:val="21"/>
              </w:rPr>
              <w:t>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8" w:type="dxa"/>
            <w:vAlign w:val="center"/>
          </w:tcPr>
          <w:p>
            <w:pPr>
              <w:widowControl/>
              <w:ind w:left="0" w:leftChars="0" w:right="0" w:rightChars="0"/>
              <w:textAlignment w:val="center"/>
              <w:rPr>
                <w:kern w:val="0"/>
                <w:szCs w:val="21"/>
                <w:lang w:bidi="ar"/>
              </w:rPr>
            </w:pPr>
            <w:r>
              <w:rPr>
                <w:szCs w:val="21"/>
              </w:rP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restart"/>
            <w:vAlign w:val="center"/>
          </w:tcPr>
          <w:p>
            <w:pPr>
              <w:pStyle w:val="2"/>
              <w:ind w:left="0" w:leftChars="0" w:firstLine="0"/>
              <w:jc w:val="center"/>
            </w:pPr>
            <w:r>
              <w:rPr>
                <w:rFonts w:hint="eastAsia"/>
              </w:rPr>
              <w:t>ZH15078220006</w:t>
            </w:r>
          </w:p>
        </w:tc>
        <w:tc>
          <w:tcPr>
            <w:tcW w:w="1069" w:type="dxa"/>
            <w:vMerge w:val="restart"/>
            <w:vAlign w:val="center"/>
          </w:tcPr>
          <w:p>
            <w:pPr>
              <w:pStyle w:val="2"/>
              <w:ind w:left="0" w:leftChars="0" w:firstLine="0"/>
              <w:jc w:val="center"/>
            </w:pPr>
            <w:r>
              <w:rPr>
                <w:rFonts w:hint="eastAsia"/>
              </w:rPr>
              <w:t>牙克石市金属矿</w:t>
            </w:r>
          </w:p>
        </w:tc>
        <w:tc>
          <w:tcPr>
            <w:tcW w:w="919" w:type="dxa"/>
            <w:vMerge w:val="restart"/>
            <w:vAlign w:val="center"/>
          </w:tcPr>
          <w:p>
            <w:pPr>
              <w:widowControl/>
              <w:ind w:left="0" w:leftChars="0" w:right="0" w:rightChars="0"/>
              <w:jc w:val="center"/>
              <w:rPr>
                <w:szCs w:val="21"/>
              </w:rPr>
            </w:pPr>
            <w:r>
              <w:rPr>
                <w:szCs w:val="21"/>
              </w:rPr>
              <w:t>重点管控单元</w:t>
            </w:r>
          </w:p>
        </w:tc>
        <w:tc>
          <w:tcPr>
            <w:tcW w:w="736" w:type="dxa"/>
            <w:vAlign w:val="center"/>
          </w:tcPr>
          <w:p>
            <w:pPr>
              <w:widowControl/>
              <w:ind w:left="0" w:leftChars="0" w:right="0" w:rightChars="0"/>
              <w:jc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污染物排放管控</w:t>
            </w:r>
          </w:p>
        </w:tc>
        <w:tc>
          <w:tcPr>
            <w:tcW w:w="5708"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szCs w:val="21"/>
              </w:rPr>
              <w:t>3.</w:t>
            </w:r>
            <w:r>
              <w:rPr>
                <w:rFonts w:hint="eastAsia"/>
                <w:szCs w:val="21"/>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szCs w:val="21"/>
              </w:rPr>
              <w:t>环境风险防控</w:t>
            </w:r>
          </w:p>
        </w:tc>
        <w:tc>
          <w:tcPr>
            <w:tcW w:w="5708" w:type="dxa"/>
            <w:vAlign w:val="center"/>
          </w:tcPr>
          <w:p>
            <w:pPr>
              <w:widowControl/>
              <w:ind w:left="0" w:leftChars="0" w:right="0" w:rightChars="0"/>
              <w:textAlignment w:val="center"/>
              <w:rPr>
                <w:szCs w:val="21"/>
              </w:rPr>
            </w:pPr>
            <w:r>
              <w:rPr>
                <w:szCs w:val="21"/>
              </w:rPr>
              <w:t>1.制定环境风险应急预案，成立应急组织机构，配备必要的应急设施和应急物资，定期开展环境风险应急演练。</w:t>
            </w:r>
          </w:p>
          <w:p>
            <w:pPr>
              <w:widowControl/>
              <w:ind w:left="0" w:leftChars="0" w:right="0" w:rightChars="0"/>
              <w:textAlignment w:val="center"/>
              <w:rPr>
                <w:kern w:val="0"/>
                <w:szCs w:val="21"/>
                <w:lang w:bidi="ar"/>
              </w:rPr>
            </w:pPr>
            <w:r>
              <w:rPr>
                <w:szCs w:val="21"/>
              </w:rPr>
              <w:t>2.全面整治历史遗留尾矿库，完善覆膜、压土、排洪、堤坝加固等隐患治理和闭库措施。有重点监管尾矿库的企业要开展环境风险评估，完善污染治理设施，储备应急物资。加强对矿产资源开发利用活动的辐射</w:t>
            </w:r>
            <w:r>
              <w:t>安全</w:t>
            </w:r>
            <w:r>
              <w:rPr>
                <w:szCs w:val="21"/>
              </w:rPr>
              <w:t>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8" w:type="dxa"/>
            <w:vAlign w:val="center"/>
          </w:tcPr>
          <w:p>
            <w:pPr>
              <w:widowControl/>
              <w:ind w:left="0" w:leftChars="0" w:right="0" w:rightChars="0"/>
              <w:textAlignment w:val="center"/>
              <w:rPr>
                <w:kern w:val="0"/>
                <w:szCs w:val="21"/>
                <w:lang w:bidi="ar"/>
              </w:rPr>
            </w:pPr>
            <w:r>
              <w:rPr>
                <w:szCs w:val="21"/>
              </w:rP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restart"/>
            <w:vAlign w:val="center"/>
          </w:tcPr>
          <w:p>
            <w:pPr>
              <w:pStyle w:val="2"/>
              <w:ind w:left="0" w:leftChars="0" w:firstLine="0"/>
              <w:jc w:val="center"/>
            </w:pPr>
            <w:r>
              <w:rPr>
                <w:rFonts w:hint="eastAsia"/>
              </w:rPr>
              <w:t>ZH15078220007</w:t>
            </w:r>
          </w:p>
        </w:tc>
        <w:tc>
          <w:tcPr>
            <w:tcW w:w="1069" w:type="dxa"/>
            <w:vMerge w:val="restart"/>
            <w:vAlign w:val="center"/>
          </w:tcPr>
          <w:p>
            <w:pPr>
              <w:pStyle w:val="2"/>
              <w:ind w:left="0" w:leftChars="0" w:firstLine="0"/>
              <w:jc w:val="center"/>
            </w:pPr>
            <w:r>
              <w:rPr>
                <w:rFonts w:hint="eastAsia"/>
              </w:rPr>
              <w:t>牙克石市煤矿</w:t>
            </w:r>
          </w:p>
        </w:tc>
        <w:tc>
          <w:tcPr>
            <w:tcW w:w="919" w:type="dxa"/>
            <w:vMerge w:val="restart"/>
            <w:vAlign w:val="center"/>
          </w:tcPr>
          <w:p>
            <w:pPr>
              <w:widowControl/>
              <w:ind w:left="0" w:leftChars="0" w:right="0" w:rightChars="0"/>
              <w:jc w:val="center"/>
              <w:rPr>
                <w:szCs w:val="21"/>
              </w:rPr>
            </w:pPr>
            <w:r>
              <w:rPr>
                <w:szCs w:val="21"/>
              </w:rPr>
              <w:t>重点管控单元</w:t>
            </w:r>
          </w:p>
        </w:tc>
        <w:tc>
          <w:tcPr>
            <w:tcW w:w="736" w:type="dxa"/>
            <w:vAlign w:val="center"/>
          </w:tcPr>
          <w:p>
            <w:pPr>
              <w:widowControl/>
              <w:ind w:left="0" w:leftChars="0" w:right="0" w:rightChars="0"/>
              <w:jc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widowControl/>
              <w:ind w:left="0" w:leftChars="0" w:right="0" w:rightChars="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widowControl/>
              <w:ind w:left="0" w:leftChars="0" w:right="0" w:rightChars="0"/>
              <w:textAlignment w:val="center"/>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污染物排放管控</w:t>
            </w:r>
          </w:p>
        </w:tc>
        <w:tc>
          <w:tcPr>
            <w:tcW w:w="5708"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rFonts w:hint="eastAsia"/>
                <w:szCs w:val="21"/>
              </w:rPr>
              <w:t>3</w:t>
            </w:r>
            <w:r>
              <w:rPr>
                <w:szCs w:val="21"/>
              </w:rPr>
              <w:t>.煤矿地面运煤系统、运输设备、煤炭贮存场所应当全封闭。鼓励有条件的露天矿山采用密闭式皮带运输系统，煤炭企业应当负责矿权范围内和排矸场等</w:t>
            </w:r>
            <w:r>
              <w:t>着火点</w:t>
            </w:r>
            <w:r>
              <w:rPr>
                <w:szCs w:val="21"/>
              </w:rPr>
              <w:t>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szCs w:val="21"/>
              </w:rPr>
              <w:t>环境风险防控</w:t>
            </w:r>
          </w:p>
        </w:tc>
        <w:tc>
          <w:tcPr>
            <w:tcW w:w="5708"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textAlignment w:val="center"/>
              <w:rPr>
                <w:kern w:val="0"/>
                <w:szCs w:val="21"/>
                <w:lang w:bidi="ar"/>
              </w:rPr>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8" w:type="dxa"/>
            <w:vAlign w:val="center"/>
          </w:tcPr>
          <w:p>
            <w:pPr>
              <w:widowControl/>
              <w:ind w:left="0" w:leftChars="0" w:right="0" w:rightChars="0"/>
              <w:textAlignment w:val="center"/>
              <w:rPr>
                <w:szCs w:val="21"/>
              </w:rPr>
            </w:pPr>
            <w:r>
              <w:rPr>
                <w:szCs w:val="21"/>
              </w:rPr>
              <w:t>1</w:t>
            </w:r>
            <w:r>
              <w:rPr>
                <w:rFonts w:hint="eastAsia"/>
                <w:szCs w:val="21"/>
              </w:rPr>
              <w:t>.</w:t>
            </w:r>
            <w:r>
              <w:rPr>
                <w:szCs w:val="21"/>
              </w:rPr>
              <w:t>原煤入选率不低于75%；煤矸石综合利用率应达到75%以上；矿井水、疏干水应采用洁净化、</w:t>
            </w:r>
            <w:r>
              <w:t>资源化</w:t>
            </w:r>
            <w:r>
              <w:rPr>
                <w:szCs w:val="21"/>
              </w:rPr>
              <w:t>技术和工艺进行合理处置，处置率达到100%。</w:t>
            </w:r>
          </w:p>
          <w:p>
            <w:pPr>
              <w:widowControl/>
              <w:ind w:left="0" w:leftChars="0" w:right="0" w:rightChars="0"/>
              <w:textAlignment w:val="center"/>
              <w:rPr>
                <w:szCs w:val="21"/>
              </w:rPr>
            </w:pPr>
            <w:r>
              <w:rPr>
                <w:szCs w:val="21"/>
              </w:rPr>
              <w:t>2</w:t>
            </w:r>
            <w:r>
              <w:rPr>
                <w:rFonts w:hint="eastAsia"/>
                <w:szCs w:val="21"/>
              </w:rPr>
              <w:t>.</w:t>
            </w:r>
            <w:r>
              <w:rPr>
                <w:szCs w:val="21"/>
              </w:rP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rPr>
                <w:kern w:val="0"/>
                <w:szCs w:val="21"/>
                <w:lang w:bidi="ar"/>
              </w:rPr>
            </w:pPr>
            <w:r>
              <w:rPr>
                <w:szCs w:val="21"/>
              </w:rP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restart"/>
            <w:vAlign w:val="center"/>
          </w:tcPr>
          <w:p>
            <w:pPr>
              <w:pStyle w:val="2"/>
              <w:ind w:left="0" w:leftChars="0" w:firstLine="0"/>
              <w:jc w:val="center"/>
            </w:pPr>
            <w:r>
              <w:rPr>
                <w:rFonts w:hint="eastAsia"/>
              </w:rPr>
              <w:t>ZH1507822000</w:t>
            </w:r>
            <w:r>
              <w:t>3</w:t>
            </w:r>
          </w:p>
        </w:tc>
        <w:tc>
          <w:tcPr>
            <w:tcW w:w="1069" w:type="dxa"/>
            <w:vMerge w:val="restart"/>
            <w:vAlign w:val="center"/>
          </w:tcPr>
          <w:p>
            <w:pPr>
              <w:pStyle w:val="2"/>
              <w:ind w:left="0" w:leftChars="0" w:firstLine="0"/>
              <w:jc w:val="center"/>
            </w:pPr>
            <w:r>
              <w:rPr>
                <w:rFonts w:hint="eastAsia"/>
              </w:rPr>
              <w:t>牙克石五九矿区</w:t>
            </w:r>
          </w:p>
        </w:tc>
        <w:tc>
          <w:tcPr>
            <w:tcW w:w="919" w:type="dxa"/>
            <w:vMerge w:val="restart"/>
            <w:vAlign w:val="center"/>
          </w:tcPr>
          <w:p>
            <w:pPr>
              <w:widowControl/>
              <w:ind w:left="0" w:leftChars="0" w:right="0" w:rightChars="0"/>
              <w:jc w:val="center"/>
              <w:rPr>
                <w:szCs w:val="21"/>
              </w:rPr>
            </w:pPr>
            <w:r>
              <w:rPr>
                <w:szCs w:val="21"/>
              </w:rPr>
              <w:t>重点管控单元</w:t>
            </w:r>
          </w:p>
        </w:tc>
        <w:tc>
          <w:tcPr>
            <w:tcW w:w="736" w:type="dxa"/>
            <w:vAlign w:val="center"/>
          </w:tcPr>
          <w:p>
            <w:pPr>
              <w:widowControl/>
              <w:ind w:left="0" w:leftChars="0" w:right="0" w:rightChars="0"/>
              <w:jc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widowControl/>
              <w:ind w:left="0" w:leftChars="0" w:right="0" w:rightChars="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污染物排放管控</w:t>
            </w:r>
          </w:p>
        </w:tc>
        <w:tc>
          <w:tcPr>
            <w:tcW w:w="5708"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矿山生态环境保护与治理恢复技术规范（试行）》（HJ651-</w:t>
            </w:r>
            <w:r>
              <w:t>2013</w:t>
            </w:r>
            <w:r>
              <w:rPr>
                <w:szCs w:val="21"/>
              </w:rPr>
              <w:t>）要求。落实边开采、边保护、边复垦的要求，使新建、在建矿山损毁土地得到全面复垦。</w:t>
            </w:r>
          </w:p>
          <w:p>
            <w:pPr>
              <w:widowControl/>
              <w:ind w:left="0" w:leftChars="0" w:right="0" w:rightChars="0"/>
              <w:textAlignment w:val="center"/>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rFonts w:hint="eastAsia"/>
                <w:szCs w:val="21"/>
              </w:rPr>
              <w:t>3</w:t>
            </w:r>
            <w:r>
              <w:rPr>
                <w:szCs w:val="21"/>
              </w:rPr>
              <w:t>.煤矿地面运煤系统、运输设备、</w:t>
            </w:r>
            <w:r>
              <w:t>煤炭</w:t>
            </w:r>
            <w:r>
              <w:rPr>
                <w:szCs w:val="21"/>
              </w:rPr>
              <w:t>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3" w:hRule="atLeast"/>
        </w:trPr>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szCs w:val="21"/>
              </w:rPr>
              <w:t>环境风险防控</w:t>
            </w:r>
          </w:p>
        </w:tc>
        <w:tc>
          <w:tcPr>
            <w:tcW w:w="5708"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textAlignment w:val="center"/>
              <w:rPr>
                <w:kern w:val="0"/>
                <w:szCs w:val="21"/>
                <w:lang w:bidi="ar"/>
              </w:rPr>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vMerge w:val="continue"/>
            <w:vAlign w:val="center"/>
          </w:tcPr>
          <w:p>
            <w:pPr>
              <w:widowControl/>
              <w:ind w:left="0" w:leftChars="0" w:right="0" w:rightChars="0"/>
              <w:jc w:val="center"/>
              <w:rPr>
                <w:szCs w:val="21"/>
              </w:rPr>
            </w:pPr>
          </w:p>
        </w:tc>
        <w:tc>
          <w:tcPr>
            <w:tcW w:w="1069" w:type="dxa"/>
            <w:vMerge w:val="continue"/>
            <w:vAlign w:val="center"/>
          </w:tcPr>
          <w:p>
            <w:pPr>
              <w:widowControl/>
              <w:ind w:left="0" w:leftChars="0" w:right="0" w:rightChars="0"/>
              <w:jc w:val="center"/>
              <w:rPr>
                <w:szCs w:val="21"/>
              </w:rPr>
            </w:pPr>
          </w:p>
        </w:tc>
        <w:tc>
          <w:tcPr>
            <w:tcW w:w="919" w:type="dxa"/>
            <w:vMerge w:val="continue"/>
            <w:vAlign w:val="center"/>
          </w:tcPr>
          <w:p>
            <w:pPr>
              <w:widowControl/>
              <w:ind w:left="0" w:leftChars="0" w:right="0" w:rightChars="0"/>
              <w:jc w:val="center"/>
              <w:rPr>
                <w:szCs w:val="21"/>
              </w:rPr>
            </w:pPr>
          </w:p>
        </w:tc>
        <w:tc>
          <w:tcPr>
            <w:tcW w:w="736"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8" w:type="dxa"/>
            <w:vAlign w:val="center"/>
          </w:tcPr>
          <w:p>
            <w:pPr>
              <w:widowControl/>
              <w:ind w:left="0" w:leftChars="0" w:right="0" w:rightChars="0"/>
              <w:textAlignment w:val="center"/>
              <w:rPr>
                <w:szCs w:val="21"/>
              </w:rPr>
            </w:pPr>
            <w:r>
              <w:rPr>
                <w:szCs w:val="21"/>
              </w:rPr>
              <w:t>1</w:t>
            </w:r>
            <w:r>
              <w:rPr>
                <w:rFonts w:hint="eastAsia"/>
                <w:szCs w:val="21"/>
              </w:rPr>
              <w:t>.</w:t>
            </w:r>
            <w:r>
              <w:rPr>
                <w:szCs w:val="21"/>
              </w:rPr>
              <w:t>原煤入选率不低于75%；煤矸石综合利用率应达到75%以上；矿井水、疏干水应采用洁净化、资源化技术和工艺进行合理处置，处置率达到100%。</w:t>
            </w:r>
          </w:p>
          <w:p>
            <w:pPr>
              <w:widowControl/>
              <w:ind w:left="0" w:leftChars="0" w:right="0" w:rightChars="0"/>
              <w:textAlignment w:val="center"/>
              <w:rPr>
                <w:szCs w:val="21"/>
              </w:rPr>
            </w:pPr>
            <w:r>
              <w:rPr>
                <w:szCs w:val="21"/>
              </w:rPr>
              <w:t>2</w:t>
            </w:r>
            <w:r>
              <w:rPr>
                <w:rFonts w:hint="eastAsia"/>
                <w:szCs w:val="21"/>
              </w:rPr>
              <w:t>.</w:t>
            </w:r>
            <w:r>
              <w:rPr>
                <w:szCs w:val="21"/>
              </w:rP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rPr>
                <w:kern w:val="0"/>
                <w:szCs w:val="21"/>
                <w:lang w:bidi="ar"/>
              </w:rPr>
            </w:pPr>
            <w:r>
              <w:rPr>
                <w:szCs w:val="21"/>
              </w:rP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kern w:val="0"/>
                <w:szCs w:val="21"/>
                <w:lang w:bidi="ar"/>
              </w:rPr>
            </w:pPr>
            <w:r>
              <w:rPr>
                <w:kern w:val="0"/>
                <w:szCs w:val="21"/>
                <w:lang w:bidi="ar"/>
              </w:rPr>
              <w:t>ZH15078230001</w:t>
            </w:r>
          </w:p>
        </w:tc>
        <w:tc>
          <w:tcPr>
            <w:tcW w:w="1069" w:type="dxa"/>
            <w:vAlign w:val="center"/>
          </w:tcPr>
          <w:p>
            <w:pPr>
              <w:widowControl/>
              <w:ind w:left="0" w:leftChars="0" w:right="0" w:rightChars="0"/>
              <w:jc w:val="center"/>
              <w:rPr>
                <w:kern w:val="0"/>
                <w:szCs w:val="21"/>
                <w:lang w:bidi="ar"/>
              </w:rPr>
            </w:pPr>
            <w:r>
              <w:rPr>
                <w:kern w:val="0"/>
                <w:szCs w:val="21"/>
                <w:lang w:bidi="ar"/>
              </w:rPr>
              <w:t>牙克石市一般管控单元</w:t>
            </w:r>
          </w:p>
        </w:tc>
        <w:tc>
          <w:tcPr>
            <w:tcW w:w="919" w:type="dxa"/>
            <w:vAlign w:val="center"/>
          </w:tcPr>
          <w:p>
            <w:pPr>
              <w:widowControl/>
              <w:ind w:left="0" w:leftChars="0" w:right="0" w:rightChars="0"/>
              <w:jc w:val="center"/>
              <w:rPr>
                <w:szCs w:val="21"/>
              </w:rPr>
            </w:pPr>
            <w:r>
              <w:rPr>
                <w:szCs w:val="21"/>
              </w:rPr>
              <w:t>一般管控单元</w:t>
            </w:r>
          </w:p>
        </w:tc>
        <w:tc>
          <w:tcPr>
            <w:tcW w:w="736" w:type="dxa"/>
            <w:vAlign w:val="center"/>
          </w:tcPr>
          <w:p>
            <w:pPr>
              <w:widowControl/>
              <w:ind w:left="0" w:leftChars="0" w:right="0" w:rightChars="0"/>
              <w:jc w:val="center"/>
              <w:rPr>
                <w:kern w:val="0"/>
                <w:szCs w:val="21"/>
                <w:lang w:bidi="ar"/>
              </w:rPr>
            </w:pPr>
            <w:r>
              <w:rPr>
                <w:kern w:val="0"/>
                <w:szCs w:val="21"/>
                <w:lang w:bidi="ar"/>
              </w:rPr>
              <w:t>空间布局约束</w:t>
            </w:r>
          </w:p>
        </w:tc>
        <w:tc>
          <w:tcPr>
            <w:tcW w:w="5708" w:type="dxa"/>
            <w:vAlign w:val="center"/>
          </w:tcPr>
          <w:p>
            <w:pPr>
              <w:widowControl/>
              <w:ind w:left="0" w:leftChars="0" w:right="0" w:rightChars="0"/>
              <w:textAlignment w:val="center"/>
              <w:rPr>
                <w:szCs w:val="21"/>
              </w:rPr>
            </w:pPr>
            <w:r>
              <w:rPr>
                <w:szCs w:val="21"/>
              </w:rP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rPr>
                <w:szCs w:val="21"/>
              </w:rPr>
            </w:pPr>
            <w:r>
              <w:rPr>
                <w:szCs w:val="21"/>
              </w:rPr>
              <w:t xml:space="preserve">2.在永久基本农田集中区域，不得新建可能造成土壤污染的建设项目；已经建成的，应当限期关闭拆除。 </w:t>
            </w:r>
          </w:p>
        </w:tc>
      </w:tr>
    </w:tbl>
    <w:p>
      <w:pPr>
        <w:ind w:left="0" w:leftChars="0" w:right="0" w:rightChars="0"/>
        <w:jc w:val="center"/>
        <w:rPr>
          <w:b/>
          <w:bCs/>
          <w:sz w:val="28"/>
          <w:szCs w:val="28"/>
        </w:rPr>
      </w:pPr>
    </w:p>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44" w:name="_Toc142233280"/>
      <w:r>
        <w:rPr>
          <w:rFonts w:ascii="Times New Roman" w:hAnsi="Times New Roman" w:eastAsia="仿宋_GB2312"/>
        </w:rPr>
        <w:t>（四）呼伦贝尔市扎兰屯市生态环境准入清单</w:t>
      </w:r>
      <w:bookmarkEnd w:id="44"/>
    </w:p>
    <w:p>
      <w:pPr>
        <w:adjustRightInd/>
        <w:snapToGrid/>
        <w:spacing w:line="500" w:lineRule="exact"/>
        <w:ind w:left="0" w:leftChars="0" w:right="0" w:rightChars="0"/>
        <w:jc w:val="center"/>
        <w:rPr>
          <w:b/>
          <w:bCs/>
          <w:sz w:val="28"/>
          <w:szCs w:val="28"/>
        </w:rPr>
      </w:pPr>
      <w:r>
        <w:rPr>
          <w:b/>
          <w:bCs/>
          <w:sz w:val="28"/>
          <w:szCs w:val="28"/>
        </w:rPr>
        <w:t>表4呼伦贝尔市扎兰屯市生态环境准入清单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9"/>
        <w:gridCol w:w="1679"/>
        <w:gridCol w:w="1383"/>
        <w:gridCol w:w="1047"/>
        <w:gridCol w:w="8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127" w:type="dxa"/>
            <w:vAlign w:val="center"/>
          </w:tcPr>
          <w:p>
            <w:pPr>
              <w:widowControl/>
              <w:ind w:left="0" w:leftChars="0" w:right="0" w:rightChars="0"/>
              <w:jc w:val="center"/>
              <w:rPr>
                <w:b/>
                <w:bCs/>
                <w:szCs w:val="21"/>
              </w:rPr>
            </w:pPr>
            <w:r>
              <w:rPr>
                <w:b/>
                <w:bCs/>
                <w:szCs w:val="21"/>
              </w:rPr>
              <w:t>环境管控单元名称</w:t>
            </w:r>
          </w:p>
        </w:tc>
        <w:tc>
          <w:tcPr>
            <w:tcW w:w="928" w:type="dxa"/>
            <w:vAlign w:val="center"/>
          </w:tcPr>
          <w:p>
            <w:pPr>
              <w:widowControl/>
              <w:ind w:left="0" w:leftChars="0" w:right="0" w:rightChars="0"/>
              <w:jc w:val="center"/>
              <w:rPr>
                <w:b/>
                <w:bCs/>
                <w:szCs w:val="21"/>
              </w:rPr>
            </w:pPr>
            <w:r>
              <w:rPr>
                <w:b/>
                <w:bCs/>
                <w:szCs w:val="21"/>
              </w:rPr>
              <w:t>管控单元类别</w:t>
            </w:r>
          </w:p>
        </w:tc>
        <w:tc>
          <w:tcPr>
            <w:tcW w:w="6385"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pStyle w:val="2"/>
              <w:ind w:left="0" w:leftChars="0" w:firstLine="0"/>
              <w:jc w:val="center"/>
            </w:pPr>
            <w:r>
              <w:rPr>
                <w:rFonts w:hint="eastAsia"/>
              </w:rPr>
              <w:t>ZH15078310001</w:t>
            </w:r>
          </w:p>
        </w:tc>
        <w:tc>
          <w:tcPr>
            <w:tcW w:w="1127" w:type="dxa"/>
            <w:vAlign w:val="center"/>
          </w:tcPr>
          <w:p>
            <w:pPr>
              <w:pStyle w:val="2"/>
              <w:ind w:left="0" w:leftChars="0" w:firstLine="0"/>
              <w:jc w:val="center"/>
            </w:pPr>
            <w:r>
              <w:rPr>
                <w:rFonts w:hint="eastAsia"/>
              </w:rPr>
              <w:t>内蒙古绰尔大峡谷国家森林公园</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szCs w:val="21"/>
              </w:rPr>
            </w:pPr>
            <w:r>
              <w:rPr>
                <w:kern w:val="0"/>
                <w:szCs w:val="21"/>
              </w:rPr>
              <w:t>空间布局约束</w:t>
            </w:r>
          </w:p>
        </w:tc>
        <w:tc>
          <w:tcPr>
            <w:tcW w:w="5682"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pStyle w:val="2"/>
              <w:ind w:left="0" w:leftChars="0" w:firstLine="0"/>
              <w:jc w:val="center"/>
            </w:pPr>
            <w:r>
              <w:rPr>
                <w:rFonts w:hint="eastAsia"/>
              </w:rPr>
              <w:t>ZH15078310002</w:t>
            </w:r>
          </w:p>
        </w:tc>
        <w:tc>
          <w:tcPr>
            <w:tcW w:w="1127" w:type="dxa"/>
            <w:vAlign w:val="center"/>
          </w:tcPr>
          <w:p>
            <w:pPr>
              <w:pStyle w:val="2"/>
              <w:ind w:left="0" w:leftChars="0" w:firstLine="0"/>
              <w:jc w:val="center"/>
            </w:pPr>
            <w:r>
              <w:rPr>
                <w:rFonts w:hint="eastAsia"/>
              </w:rPr>
              <w:t>大兴安岭水源涵养和生物多样性维护生态保护红线</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jc w:val="left"/>
              <w:textAlignment w:val="center"/>
            </w:pPr>
            <w:r>
              <w:t>2.禁止新建高水资源消耗产业；</w:t>
            </w:r>
          </w:p>
          <w:p>
            <w:pPr>
              <w:widowControl/>
              <w:ind w:left="0" w:leftChars="0" w:right="0" w:rightChars="0"/>
              <w:textAlignment w:val="center"/>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4.禁止生物多样性维护生态功能区的大规模水电开发和林纸一体化产业发展。</w:t>
            </w:r>
          </w:p>
          <w:p>
            <w:pPr>
              <w:widowControl/>
              <w:ind w:left="0" w:leftChars="0" w:right="0" w:rightChars="0"/>
              <w:textAlignment w:val="cente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pStyle w:val="2"/>
              <w:ind w:left="0" w:leftChars="0" w:firstLine="0"/>
              <w:jc w:val="center"/>
            </w:pPr>
            <w:r>
              <w:rPr>
                <w:rFonts w:hint="eastAsia"/>
              </w:rPr>
              <w:t>ZH15078310003</w:t>
            </w:r>
          </w:p>
        </w:tc>
        <w:tc>
          <w:tcPr>
            <w:tcW w:w="1127" w:type="dxa"/>
            <w:vAlign w:val="center"/>
          </w:tcPr>
          <w:p>
            <w:pPr>
              <w:pStyle w:val="2"/>
              <w:ind w:left="0" w:leftChars="0" w:firstLine="0"/>
              <w:jc w:val="center"/>
            </w:pPr>
            <w:r>
              <w:rPr>
                <w:rFonts w:hint="eastAsia"/>
              </w:rPr>
              <w:t>内蒙古阿尔山国家森林公园</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rPr>
                <w:kern w:val="0"/>
                <w:szCs w:val="21"/>
              </w:rP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ZH15078310004</w:t>
            </w:r>
          </w:p>
        </w:tc>
        <w:tc>
          <w:tcPr>
            <w:tcW w:w="1127" w:type="dxa"/>
            <w:vAlign w:val="center"/>
          </w:tcPr>
          <w:p>
            <w:pPr>
              <w:widowControl/>
              <w:ind w:left="0" w:leftChars="0" w:right="0" w:rightChars="0"/>
              <w:jc w:val="center"/>
              <w:rPr>
                <w:szCs w:val="21"/>
              </w:rPr>
            </w:pPr>
            <w:r>
              <w:rPr>
                <w:rFonts w:hint="eastAsia"/>
                <w:szCs w:val="21"/>
              </w:rPr>
              <w:t>内蒙古阿尔山哈拉哈河国家湿地公园</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pStyle w:val="2"/>
              <w:ind w:left="0" w:leftChars="0" w:firstLine="0"/>
              <w:jc w:val="center"/>
            </w:pPr>
            <w:r>
              <w:rPr>
                <w:rFonts w:hint="eastAsia"/>
              </w:rPr>
              <w:t>ZH15078310005</w:t>
            </w:r>
          </w:p>
        </w:tc>
        <w:tc>
          <w:tcPr>
            <w:tcW w:w="1127" w:type="dxa"/>
            <w:vAlign w:val="center"/>
          </w:tcPr>
          <w:p>
            <w:pPr>
              <w:pStyle w:val="2"/>
              <w:ind w:left="0" w:leftChars="0" w:firstLine="0"/>
              <w:jc w:val="center"/>
            </w:pPr>
            <w:r>
              <w:rPr>
                <w:rFonts w:hint="eastAsia"/>
              </w:rPr>
              <w:t>内蒙古柴河固里国家湿地公园</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ZH15078310006</w:t>
            </w:r>
          </w:p>
        </w:tc>
        <w:tc>
          <w:tcPr>
            <w:tcW w:w="1127" w:type="dxa"/>
            <w:vAlign w:val="center"/>
          </w:tcPr>
          <w:p>
            <w:pPr>
              <w:widowControl/>
              <w:ind w:left="0" w:leftChars="0" w:right="0" w:rightChars="0"/>
              <w:jc w:val="center"/>
              <w:rPr>
                <w:szCs w:val="21"/>
              </w:rPr>
            </w:pPr>
            <w:r>
              <w:rPr>
                <w:rFonts w:hint="eastAsia"/>
                <w:szCs w:val="21"/>
              </w:rPr>
              <w:t>内蒙古柴河自治区级自然保护区</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w:t>
            </w:r>
            <w:r>
              <w:t>直辖市</w:t>
            </w:r>
            <w:r>
              <w:rPr>
                <w:kern w:val="0"/>
              </w:rPr>
              <w:t>人民政府有关自然保护区行政主管部门批准。</w:t>
            </w:r>
          </w:p>
          <w:p>
            <w:pPr>
              <w:widowControl/>
              <w:ind w:left="0" w:leftChars="0" w:right="0" w:rightChars="0"/>
              <w:textAlignment w:val="center"/>
              <w:rPr>
                <w:kern w:val="0"/>
              </w:rPr>
            </w:pPr>
            <w:r>
              <w:rPr>
                <w:kern w:val="0"/>
              </w:rP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rPr>
                <w:kern w:val="0"/>
              </w:rPr>
            </w:pPr>
            <w:r>
              <w:rPr>
                <w:rFonts w:hint="eastAsia"/>
                <w:kern w:val="0"/>
              </w:rPr>
              <w:t>3</w:t>
            </w:r>
            <w:r>
              <w:rPr>
                <w:kern w:val="0"/>
              </w:rPr>
              <w:t>.任何单位和个人不得破坏或者擅自移动</w:t>
            </w:r>
            <w:r>
              <w:t>自然保护区</w:t>
            </w:r>
            <w:r>
              <w:rPr>
                <w:kern w:val="0"/>
              </w:rPr>
              <w:t>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pStyle w:val="2"/>
              <w:ind w:left="0" w:leftChars="0" w:firstLine="0"/>
              <w:rPr>
                <w:kern w:val="0"/>
              </w:rPr>
            </w:pPr>
            <w:r>
              <w:rPr>
                <w:rFonts w:hint="eastAsia"/>
                <w:kern w:val="0"/>
              </w:rPr>
              <w:t>6</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pStyle w:val="2"/>
              <w:ind w:left="0" w:leftChars="0" w:firstLine="0"/>
            </w:pPr>
            <w:r>
              <w:rPr>
                <w:rFonts w:hint="eastAsia"/>
                <w:kern w:val="0"/>
                <w:szCs w:val="21"/>
              </w:rPr>
              <w:t>7.</w:t>
            </w:r>
            <w:r>
              <w:rPr>
                <w:rFonts w:hint="eastAsia"/>
              </w:rPr>
              <w:t>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pStyle w:val="2"/>
              <w:ind w:left="0" w:leftChars="0" w:firstLine="0"/>
              <w:jc w:val="center"/>
            </w:pPr>
            <w:r>
              <w:rPr>
                <w:rFonts w:hint="eastAsia"/>
              </w:rPr>
              <w:t>ZH15078310007</w:t>
            </w:r>
          </w:p>
        </w:tc>
        <w:tc>
          <w:tcPr>
            <w:tcW w:w="1127" w:type="dxa"/>
            <w:vAlign w:val="center"/>
          </w:tcPr>
          <w:p>
            <w:pPr>
              <w:pStyle w:val="2"/>
              <w:ind w:left="0" w:leftChars="0" w:firstLine="0"/>
              <w:jc w:val="center"/>
            </w:pPr>
            <w:r>
              <w:rPr>
                <w:rFonts w:hint="eastAsia"/>
              </w:rPr>
              <w:t>内蒙古扎兰屯济沁河流域湿地自治区级自然保护区</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spacing w:line="240" w:lineRule="exact"/>
              <w:ind w:left="0" w:leftChars="0" w:right="0" w:rightChars="0"/>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spacing w:line="240" w:lineRule="exact"/>
              <w:ind w:left="0" w:leftChars="0" w:right="0" w:rightChars="0"/>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w:t>
            </w:r>
            <w:r>
              <w:t>.禁止开（围）垦、填埋或者排干湿地；禁止永久性截断湿地水源；禁止倾倒有毒有害物质、废弃物、垃圾；禁止破坏野生动物栖息地和迁徙通道、鱼类洄游通道，滥采滥捕野生动植物；禁止引进外来物种；禁止擅自放牧、捕捞、取土、取水、排放生活污水、排放工业废水、放生；</w:t>
            </w:r>
          </w:p>
          <w:p>
            <w:pPr>
              <w:widowControl/>
              <w:spacing w:line="240" w:lineRule="exact"/>
              <w:ind w:left="0" w:leftChars="0" w:right="0" w:rightChars="0"/>
            </w:pPr>
            <w:r>
              <w:rPr>
                <w:rFonts w:hint="eastAsia"/>
              </w:rPr>
              <w:t>8</w:t>
            </w:r>
            <w:r>
              <w:t>.禁止其他破坏湿地及其生态功能的活动。</w:t>
            </w:r>
          </w:p>
          <w:p>
            <w:pPr>
              <w:widowControl/>
              <w:spacing w:line="240" w:lineRule="exact"/>
              <w:ind w:left="0" w:leftChars="0" w:right="0" w:rightChars="0"/>
            </w:pPr>
            <w:r>
              <w:rPr>
                <w:rFonts w:hint="eastAsia"/>
              </w:rPr>
              <w:t>9</w:t>
            </w:r>
            <w:r>
              <w:t>.禁止在湿地范围内捡拾鸟卵、采用灭绝性方式捕捞鱼类及其他水生生物，禁止非法猎捕野生动物。</w:t>
            </w:r>
          </w:p>
          <w:p>
            <w:pPr>
              <w:widowControl/>
              <w:spacing w:line="240" w:lineRule="exact"/>
              <w:ind w:left="0" w:leftChars="0" w:right="0" w:rightChars="0"/>
            </w:pPr>
            <w:r>
              <w:t>1</w:t>
            </w:r>
            <w:r>
              <w:rPr>
                <w:rFonts w:hint="eastAsia"/>
              </w:rPr>
              <w:t>0</w:t>
            </w:r>
            <w:r>
              <w:t>.除抢险、救灾外，在湿地取水或者拦截湿地水源，不得影响湿地合理水位或者截断湿地水系与外围水系的联系，不得破坏鱼类等水生生物洄游通道和产卵场。</w:t>
            </w:r>
          </w:p>
          <w:p>
            <w:pPr>
              <w:widowControl/>
              <w:spacing w:line="240" w:lineRule="exact"/>
              <w:ind w:left="0" w:leftChars="0" w:right="0" w:rightChars="0"/>
            </w:pPr>
            <w:r>
              <w:t>1</w:t>
            </w:r>
            <w:r>
              <w:rPr>
                <w:rFonts w:hint="eastAsia"/>
              </w:rPr>
              <w:t>1</w:t>
            </w:r>
            <w:r>
              <w:t>.开发利用天然湿地应当按照湿地保护规划进行，不得破坏湿地生态系统的基本功能，不得破坏野生动植物栖息和生长环境。</w:t>
            </w:r>
          </w:p>
          <w:p>
            <w:pPr>
              <w:widowControl/>
              <w:spacing w:line="240" w:lineRule="exact"/>
              <w:ind w:left="0" w:leftChars="0" w:right="0" w:rightChars="0"/>
            </w:pPr>
            <w:r>
              <w:t>1</w:t>
            </w:r>
            <w:r>
              <w:rPr>
                <w:rFonts w:hint="eastAsia"/>
              </w:rPr>
              <w:t>2</w:t>
            </w:r>
            <w:r>
              <w:t>.禁止在天然湿地内擅自进行采砂、采石、采矿、挖塘、砍伐林木和开垦活动。</w:t>
            </w:r>
          </w:p>
          <w:p>
            <w:pPr>
              <w:widowControl/>
              <w:ind w:left="0" w:leftChars="0" w:right="0" w:rightChars="0"/>
              <w:textAlignment w:val="center"/>
            </w:pPr>
            <w:r>
              <w:t>1</w:t>
            </w:r>
            <w:r>
              <w:rPr>
                <w:rFonts w:hint="eastAsia"/>
              </w:rPr>
              <w:t>3</w:t>
            </w:r>
            <w:r>
              <w:t>.不得擅自占用或者改变天然湿地用途。因重要建设项目确需改变天然湿地用途的，应当按照有关法律、法规的规定办理相关审批手续。</w:t>
            </w:r>
          </w:p>
          <w:p>
            <w:pPr>
              <w:pStyle w:val="2"/>
              <w:ind w:left="0" w:leftChars="0" w:firstLine="0"/>
            </w:pPr>
            <w:r>
              <w:rPr>
                <w:rFonts w:hint="eastAsia"/>
                <w:kern w:val="0"/>
                <w:szCs w:val="21"/>
              </w:rPr>
              <w:t>14.</w:t>
            </w:r>
            <w:r>
              <w:rPr>
                <w:rFonts w:hint="eastAsia"/>
              </w:rPr>
              <w:t>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ZH15078310008</w:t>
            </w:r>
          </w:p>
        </w:tc>
        <w:tc>
          <w:tcPr>
            <w:tcW w:w="1127" w:type="dxa"/>
            <w:vAlign w:val="center"/>
          </w:tcPr>
          <w:p>
            <w:pPr>
              <w:widowControl/>
              <w:ind w:left="0" w:leftChars="0" w:right="0" w:rightChars="0"/>
              <w:jc w:val="center"/>
              <w:rPr>
                <w:szCs w:val="21"/>
              </w:rPr>
            </w:pPr>
            <w:r>
              <w:rPr>
                <w:rFonts w:hint="eastAsia"/>
                <w:szCs w:val="21"/>
              </w:rPr>
              <w:t>内蒙古扎兰屯苇莲河流域湿地自治区级自然保护区</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w:t>
            </w:r>
            <w:r>
              <w:t>直辖市</w:t>
            </w:r>
            <w:r>
              <w:rPr>
                <w:kern w:val="0"/>
              </w:rPr>
              <w:t>人民政府有关自然保护区行政主管部门批准。</w:t>
            </w:r>
          </w:p>
          <w:p>
            <w:pPr>
              <w:widowControl/>
              <w:ind w:left="0" w:leftChars="0" w:right="0" w:rightChars="0"/>
              <w:textAlignment w:val="center"/>
              <w:rPr>
                <w:kern w:val="0"/>
              </w:rPr>
            </w:pPr>
            <w:r>
              <w:rPr>
                <w:kern w:val="0"/>
              </w:rPr>
              <w:t>2.因教学科研的目的，需要进入</w:t>
            </w:r>
            <w:r>
              <w:t>自然保护区</w:t>
            </w:r>
            <w:r>
              <w:rPr>
                <w:kern w:val="0"/>
              </w:rPr>
              <w:t>的缓冲区从事非破坏性的科学研究、教学实习和标本采集活动的，应当事先向自然保护区管理机构提交申请和活动计划，经自然保护区管理机构批准。</w:t>
            </w:r>
          </w:p>
          <w:p>
            <w:pPr>
              <w:pStyle w:val="2"/>
              <w:ind w:left="0" w:leftChars="0" w:right="0" w:rightChars="0" w:firstLine="0"/>
              <w:rPr>
                <w:kern w:val="0"/>
              </w:rPr>
            </w:pPr>
            <w:r>
              <w:rPr>
                <w:rFonts w:hint="eastAsia"/>
                <w:kern w:val="0"/>
              </w:rPr>
              <w:t>3</w:t>
            </w:r>
            <w:r>
              <w:rPr>
                <w:kern w:val="0"/>
              </w:rPr>
              <w:t>.任何单位和个人不得破坏或者擅自移动自然保护区界标。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widowControl/>
              <w:ind w:left="0" w:leftChars="0" w:right="0" w:rightChars="0"/>
              <w:textAlignment w:val="center"/>
              <w:rPr>
                <w:kern w:val="0"/>
              </w:rPr>
            </w:pPr>
            <w:r>
              <w:rPr>
                <w:rFonts w:hint="eastAsia"/>
                <w:kern w:val="0"/>
              </w:rPr>
              <w:t>6</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rPr>
                <w:kern w:val="0"/>
                <w:szCs w:val="21"/>
              </w:rP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pStyle w:val="2"/>
              <w:ind w:left="0" w:leftChars="0" w:firstLine="0"/>
              <w:jc w:val="center"/>
            </w:pPr>
            <w:r>
              <w:rPr>
                <w:rFonts w:hint="eastAsia"/>
              </w:rPr>
              <w:t>ZH15078310009</w:t>
            </w:r>
          </w:p>
        </w:tc>
        <w:tc>
          <w:tcPr>
            <w:tcW w:w="1127" w:type="dxa"/>
            <w:vAlign w:val="center"/>
          </w:tcPr>
          <w:p>
            <w:pPr>
              <w:pStyle w:val="2"/>
              <w:ind w:left="0" w:leftChars="0" w:firstLine="0"/>
              <w:jc w:val="center"/>
            </w:pPr>
            <w:r>
              <w:rPr>
                <w:rFonts w:hint="eastAsia"/>
              </w:rPr>
              <w:t>内蒙古扎兰屯秀水国家湿地公园</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pStyle w:val="2"/>
              <w:ind w:left="0" w:leftChars="0" w:firstLine="0"/>
              <w:jc w:val="center"/>
            </w:pPr>
            <w:r>
              <w:rPr>
                <w:rFonts w:hint="eastAsia"/>
              </w:rPr>
              <w:t>ZH15078310010</w:t>
            </w:r>
          </w:p>
        </w:tc>
        <w:tc>
          <w:tcPr>
            <w:tcW w:w="1127" w:type="dxa"/>
            <w:vAlign w:val="center"/>
          </w:tcPr>
          <w:p>
            <w:pPr>
              <w:pStyle w:val="2"/>
              <w:ind w:left="0" w:leftChars="0" w:firstLine="0"/>
              <w:jc w:val="center"/>
            </w:pPr>
            <w:r>
              <w:rPr>
                <w:rFonts w:hint="eastAsia"/>
              </w:rPr>
              <w:t>内蒙古扎兰屯秀水国家湿地公园(扎兰屯市河西新区集中式饮用水水源地)</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w:t>
            </w:r>
            <w:r>
              <w:t>.在饮用水水源准保护区内，禁止下列行为：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rPr>
                <w:rFonts w:hint="eastAsia"/>
              </w:rPr>
              <w:t>5</w:t>
            </w:r>
            <w:r>
              <w:t>.在饮用水水源二级保护区内，除饮用水水源准保护区内禁止的行为外，还禁止下列行为：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rPr>
                <w:rFonts w:hint="eastAsia"/>
              </w:rPr>
              <w:t>6</w:t>
            </w:r>
            <w:r>
              <w:t>.在饮用水水源一级保护区内，除饮用水水源准保护区、二级保护区内禁止的行为外，还禁止下列行为：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rPr>
                <w:rFonts w:hint="eastAsia"/>
              </w:rPr>
              <w:t>7</w:t>
            </w:r>
            <w: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pStyle w:val="2"/>
              <w:ind w:left="0" w:leftChars="0" w:firstLine="0"/>
            </w:pPr>
            <w:r>
              <w:rPr>
                <w:rFonts w:hint="eastAsia"/>
              </w:rPr>
              <w:t>8</w:t>
            </w:r>
            <w:r>
              <w:t>. 在饮用水水源一级保护区内已建成的与供水设施和保护水源无关的建设项目，由旗县级以上人民政府责令拆除或者关闭。</w:t>
            </w:r>
          </w:p>
          <w:p>
            <w:pPr>
              <w:widowControl/>
              <w:ind w:left="0" w:leftChars="0" w:right="0" w:rightChars="0"/>
              <w:jc w:val="left"/>
              <w:textAlignment w:val="center"/>
              <w:rPr>
                <w:kern w:val="0"/>
                <w:szCs w:val="21"/>
              </w:rPr>
            </w:pPr>
            <w:r>
              <w:rPr>
                <w:rFonts w:hint="eastAsia"/>
              </w:rPr>
              <w:t>9.在生态保护红线内的有限人为活动管理要求按照《自然资源部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ZH15078310011</w:t>
            </w:r>
          </w:p>
        </w:tc>
        <w:tc>
          <w:tcPr>
            <w:tcW w:w="1127" w:type="dxa"/>
            <w:vAlign w:val="center"/>
          </w:tcPr>
          <w:p>
            <w:pPr>
              <w:widowControl/>
              <w:ind w:left="0" w:leftChars="0" w:right="0" w:rightChars="0"/>
              <w:jc w:val="center"/>
              <w:rPr>
                <w:szCs w:val="21"/>
              </w:rPr>
            </w:pPr>
            <w:r>
              <w:rPr>
                <w:rFonts w:hint="eastAsia"/>
                <w:szCs w:val="21"/>
              </w:rPr>
              <w:t>内蒙古扎兰屯自治区地质公园</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1.任何单位和个人不得在其内及可能对地质遗迹造成影响的一定范围内进行采石、取土、开矿、放牧、砍伐以及其它对保护对象有损害的活动。未经管理机构批准，不得在保护区范围内采集标本和化石；</w:t>
            </w:r>
          </w:p>
          <w:p>
            <w:pPr>
              <w:widowControl/>
              <w:ind w:left="0" w:leftChars="0" w:right="0" w:rightChars="0"/>
              <w:textAlignment w:val="center"/>
            </w:pPr>
            <w:r>
              <w:t>2.不得在其内修建与地质遗迹保护无关的厂房或其他建筑设施；对已建成并可能对地质遗迹造成污染或破坏的设施，应限期治理或停业外迁；</w:t>
            </w:r>
          </w:p>
          <w:p>
            <w:pPr>
              <w:widowControl/>
              <w:ind w:left="0" w:leftChars="0" w:right="0" w:rightChars="0"/>
              <w:textAlignment w:val="center"/>
            </w:pPr>
            <w:r>
              <w:t>3.地质遗迹可分别实施一级保护、二级保护和三级保护：一级保护:对国际或国内具有极为罕见和重要科学价值的地质遗迹实施一级保护，非经批准不得入内。经设立该级地质遗迹保护区的人民政府地质矿产行政主管部门批准，可组织进行参观、科研或国际间交往；二级保护:对大区域范围内具有重要科学价值的地质遗迹实施二级保护。经设立该级地质遗迹保护区的人民政府地质矿产行政主管部门批准，可有组织地进行科研、教学、学术交流及适当的旅游活动；三级保护:对具一定价值的地质遗迹实施三级保护。经设立该级地质遗迹保护区的人民政府地质矿产行政主管部门批准，可组织开展旅游活动。</w:t>
            </w:r>
          </w:p>
          <w:p>
            <w:pPr>
              <w:widowControl/>
              <w:ind w:left="0" w:leftChars="0" w:right="0" w:rightChars="0"/>
              <w:textAlignment w:val="center"/>
              <w:rPr>
                <w:kern w:val="0"/>
                <w:szCs w:val="21"/>
              </w:rPr>
            </w:pPr>
            <w:r>
              <w:rPr>
                <w:rFonts w:hint="eastAsia"/>
              </w:rPr>
              <w:t>4.</w:t>
            </w:r>
            <w:r>
              <w:t>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ZH15078310012</w:t>
            </w:r>
          </w:p>
        </w:tc>
        <w:tc>
          <w:tcPr>
            <w:tcW w:w="1127" w:type="dxa"/>
            <w:vAlign w:val="center"/>
          </w:tcPr>
          <w:p>
            <w:pPr>
              <w:widowControl/>
              <w:ind w:left="0" w:leftChars="0" w:right="0" w:rightChars="0"/>
              <w:jc w:val="center"/>
              <w:rPr>
                <w:szCs w:val="21"/>
              </w:rPr>
            </w:pPr>
            <w:r>
              <w:rPr>
                <w:rFonts w:hint="eastAsia"/>
                <w:szCs w:val="21"/>
              </w:rPr>
              <w:t>扎兰屯市河西新区集中式饮用水水源地</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rPr>
                <w:kern w:val="0"/>
                <w:szCs w:val="21"/>
              </w:rP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1073" w:type="dxa"/>
            <w:vAlign w:val="center"/>
          </w:tcPr>
          <w:p>
            <w:pPr>
              <w:widowControl/>
              <w:ind w:left="0" w:leftChars="0" w:right="0" w:rightChars="0"/>
              <w:jc w:val="center"/>
              <w:rPr>
                <w:szCs w:val="21"/>
              </w:rPr>
            </w:pPr>
            <w:r>
              <w:rPr>
                <w:rFonts w:hint="eastAsia"/>
                <w:szCs w:val="21"/>
              </w:rPr>
              <w:t>ZH15078310013</w:t>
            </w:r>
          </w:p>
        </w:tc>
        <w:tc>
          <w:tcPr>
            <w:tcW w:w="1127" w:type="dxa"/>
            <w:vAlign w:val="center"/>
          </w:tcPr>
          <w:p>
            <w:pPr>
              <w:widowControl/>
              <w:ind w:left="0" w:leftChars="0" w:right="0" w:rightChars="0"/>
              <w:jc w:val="center"/>
              <w:rPr>
                <w:szCs w:val="21"/>
              </w:rPr>
            </w:pPr>
            <w:r>
              <w:rPr>
                <w:rFonts w:hint="eastAsia"/>
                <w:szCs w:val="21"/>
              </w:rPr>
              <w:t>扎兰屯市河西新区集中式饮用水水源地</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t>5. 在饮用水水源一级保护区内已建成的与供水设施和保护水源无关的建设项目，由旗县级以上人民政府责令拆除或者关闭。</w:t>
            </w:r>
          </w:p>
          <w:p>
            <w:pPr>
              <w:widowControl/>
              <w:ind w:left="0" w:leftChars="0" w:right="0" w:rightChars="0"/>
              <w:textAlignment w:val="center"/>
              <w:rPr>
                <w:kern w:val="0"/>
                <w:szCs w:val="21"/>
              </w:rP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ZH15078310014</w:t>
            </w:r>
          </w:p>
        </w:tc>
        <w:tc>
          <w:tcPr>
            <w:tcW w:w="1127" w:type="dxa"/>
            <w:vAlign w:val="center"/>
          </w:tcPr>
          <w:p>
            <w:pPr>
              <w:widowControl/>
              <w:ind w:left="0" w:leftChars="0" w:right="0" w:rightChars="0"/>
              <w:jc w:val="center"/>
              <w:rPr>
                <w:szCs w:val="21"/>
              </w:rPr>
            </w:pPr>
            <w:r>
              <w:rPr>
                <w:rFonts w:hint="eastAsia"/>
                <w:szCs w:val="21"/>
              </w:rPr>
              <w:t>扎兰屯市水源涵养生态功能重要区域</w:t>
            </w:r>
          </w:p>
        </w:tc>
        <w:tc>
          <w:tcPr>
            <w:tcW w:w="92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rPr>
                <w:kern w:val="0"/>
                <w:szCs w:val="21"/>
              </w:rPr>
            </w:pPr>
            <w:r>
              <w:rPr>
                <w:rFonts w:hint="eastAsia"/>
              </w:rPr>
              <w:t>3.海拉尔区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szCs w:val="21"/>
              </w:rPr>
            </w:pPr>
            <w:r>
              <w:rPr>
                <w:szCs w:val="21"/>
              </w:rPr>
              <w:t>ZH15078320001</w:t>
            </w:r>
          </w:p>
        </w:tc>
        <w:tc>
          <w:tcPr>
            <w:tcW w:w="1127" w:type="dxa"/>
            <w:vMerge w:val="restart"/>
            <w:vAlign w:val="center"/>
          </w:tcPr>
          <w:p>
            <w:pPr>
              <w:widowControl/>
              <w:ind w:left="0" w:leftChars="0" w:right="0" w:rightChars="0"/>
              <w:jc w:val="center"/>
              <w:rPr>
                <w:szCs w:val="21"/>
              </w:rPr>
            </w:pPr>
            <w:r>
              <w:rPr>
                <w:szCs w:val="21"/>
              </w:rPr>
              <w:t>内蒙古呼伦贝尔岭东农畜林产品开发区扎兰屯产业园</w:t>
            </w:r>
          </w:p>
        </w:tc>
        <w:tc>
          <w:tcPr>
            <w:tcW w:w="92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textAlignment w:val="center"/>
              <w:rPr>
                <w:kern w:val="0"/>
                <w:szCs w:val="21"/>
              </w:rPr>
            </w:pPr>
            <w:r>
              <w:rPr>
                <w:kern w:val="0"/>
                <w:szCs w:val="21"/>
              </w:rPr>
              <w:t>空间布局约束</w:t>
            </w:r>
          </w:p>
        </w:tc>
        <w:tc>
          <w:tcPr>
            <w:tcW w:w="5682" w:type="dxa"/>
            <w:vAlign w:val="center"/>
          </w:tcPr>
          <w:p>
            <w:pPr>
              <w:ind w:left="0" w:leftChars="0" w:right="0" w:rightChars="0"/>
              <w:rPr>
                <w:kern w:val="0"/>
                <w:szCs w:val="21"/>
              </w:rPr>
            </w:pPr>
            <w:r>
              <w:rPr>
                <w:kern w:val="0"/>
                <w:szCs w:val="21"/>
              </w:rPr>
              <w:t>1.国家明令淘汰的落后产能和不符合国家产业政策的项目，严禁向工业园区转移。工业园区主导产业中不包含化工行业的，一律不得引进危险化学品生产项目。</w:t>
            </w:r>
          </w:p>
          <w:p>
            <w:pPr>
              <w:widowControl/>
              <w:ind w:left="0" w:leftChars="0" w:right="0" w:rightChars="0"/>
              <w:textAlignment w:val="center"/>
              <w:rPr>
                <w:kern w:val="0"/>
                <w:szCs w:val="21"/>
              </w:rPr>
            </w:pPr>
            <w:r>
              <w:rPr>
                <w:kern w:val="0"/>
                <w:szCs w:val="21"/>
              </w:rPr>
              <w:t>2.严格限制用水量大的项目，非工业园区产业定位方向的项目一律不得入区。禁止引进有持久性有机污染、排放致癌、致畸、致突变物质、排放恶臭气体、有放射性污染及排放属"POPS"清单内有关物质的项目，杜绝高污染、高风险和高投入、低产出的项目入区。居住区周边不得建设有噪声扰民和废气污染的企业。</w:t>
            </w:r>
          </w:p>
          <w:p>
            <w:pPr>
              <w:pStyle w:val="2"/>
              <w:ind w:left="0" w:leftChars="0" w:right="0" w:rightChars="0" w:firstLine="0"/>
              <w:rPr>
                <w:kern w:val="0"/>
                <w:szCs w:val="21"/>
              </w:rPr>
            </w:pPr>
            <w:r>
              <w:rPr>
                <w:kern w:val="0"/>
                <w:szCs w:val="21"/>
              </w:rPr>
              <w:t>3.工业区与居住区、开发区以及周边居住区、农田之间应能保证生态防护带的距离，以减少工业污染和噪声对周边环境的影响。</w:t>
            </w:r>
          </w:p>
          <w:p>
            <w:pPr>
              <w:widowControl/>
              <w:ind w:left="0" w:leftChars="0" w:right="0" w:rightChars="0"/>
              <w:textAlignment w:val="center"/>
            </w:pPr>
            <w:r>
              <w:rPr>
                <w:kern w:val="0"/>
                <w:szCs w:val="21"/>
              </w:rPr>
              <w:t>4.园区内一律不得新建晾晒池、蒸发塘。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textAlignment w:val="center"/>
              <w:rPr>
                <w:kern w:val="0"/>
                <w:szCs w:val="21"/>
              </w:rPr>
            </w:pPr>
            <w:r>
              <w:rPr>
                <w:kern w:val="0"/>
                <w:szCs w:val="21"/>
              </w:rPr>
              <w:t>污染物排放管控</w:t>
            </w:r>
          </w:p>
        </w:tc>
        <w:tc>
          <w:tcPr>
            <w:tcW w:w="5682" w:type="dxa"/>
            <w:vAlign w:val="center"/>
          </w:tcPr>
          <w:p>
            <w:pPr>
              <w:widowControl/>
              <w:ind w:left="0" w:leftChars="0" w:right="0" w:rightChars="0"/>
              <w:textAlignment w:val="center"/>
              <w:rPr>
                <w:kern w:val="0"/>
                <w:szCs w:val="21"/>
              </w:rPr>
            </w:pPr>
            <w:r>
              <w:rPr>
                <w:kern w:val="0"/>
                <w:szCs w:val="21"/>
              </w:rPr>
              <w:t>1.加快工业园区集中供热中心及供热管网建设，新入区企业不得自建锅炉，确因工艺需要建设的加热设备必须使用天然气、轻质柴油、电等清洁能源，一旦实现集中供热，区内现有燃煤锅炉须立即取缔。</w:t>
            </w:r>
          </w:p>
          <w:p>
            <w:pPr>
              <w:widowControl/>
              <w:ind w:left="0" w:leftChars="0" w:right="0" w:rightChars="0"/>
              <w:textAlignment w:val="center"/>
            </w:pPr>
            <w:r>
              <w:t>2.按“雨污分流、清污分流、中水回用”要求，加快污水处理厂及污水截流管网等配套工程的建设，确保区内生产废水、生活污水全部接管、统一处理后排放。污水集中处理设施一旦建设到位，已有排污口须立即取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textAlignment w:val="center"/>
              <w:rPr>
                <w:kern w:val="0"/>
                <w:szCs w:val="21"/>
              </w:rPr>
            </w:pPr>
            <w:r>
              <w:rPr>
                <w:szCs w:val="21"/>
              </w:rPr>
              <w:t>环境风险防控</w:t>
            </w:r>
          </w:p>
        </w:tc>
        <w:tc>
          <w:tcPr>
            <w:tcW w:w="5682" w:type="dxa"/>
            <w:vAlign w:val="center"/>
          </w:tcPr>
          <w:p>
            <w:pPr>
              <w:widowControl/>
              <w:ind w:left="0" w:leftChars="0" w:right="0" w:rightChars="0"/>
              <w:textAlignment w:val="center"/>
              <w:rPr>
                <w:kern w:val="0"/>
                <w:szCs w:val="21"/>
              </w:rPr>
            </w:pPr>
            <w:r>
              <w:rPr>
                <w:kern w:val="0"/>
                <w:szCs w:val="21"/>
              </w:rPr>
              <w:t>1.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p>
            <w:pPr>
              <w:widowControl/>
              <w:ind w:left="0" w:leftChars="0" w:right="0" w:rightChars="0"/>
              <w:textAlignment w:val="center"/>
            </w:pPr>
            <w:r>
              <w:t>2.切实加强园区环境安全管理工作，制订危险化学品的登记管理制度，在基础设施和企业生产运营管理中须制定并落实严格的环境风险防范措施和事故应急预案，区内各危险化学品库区及使用危险化学品的生产装置周边须设置物料泄漏应急截流沟，防止泄漏物料进入环境，并储备事故应急设备物资，定期组织实战演练，确保环境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textAlignment w:val="center"/>
              <w:rPr>
                <w:kern w:val="0"/>
                <w:szCs w:val="21"/>
              </w:rPr>
            </w:pPr>
            <w:r>
              <w:rPr>
                <w:kern w:val="0"/>
                <w:szCs w:val="21"/>
              </w:rPr>
              <w:t>资源利用效率要求</w:t>
            </w:r>
          </w:p>
        </w:tc>
        <w:tc>
          <w:tcPr>
            <w:tcW w:w="5682" w:type="dxa"/>
            <w:vAlign w:val="center"/>
          </w:tcPr>
          <w:p>
            <w:pPr>
              <w:widowControl/>
              <w:ind w:left="0" w:leftChars="0" w:right="0" w:rightChars="0"/>
              <w:textAlignment w:val="center"/>
              <w:rPr>
                <w:szCs w:val="21"/>
              </w:rPr>
            </w:pPr>
            <w:r>
              <w:rPr>
                <w:szCs w:val="21"/>
              </w:rPr>
              <w:t>1.新、改、扩建的高耗水工业项目，禁止擅自使用地下水。优先配置利用中水和疏干水等作为生产水源；具备使用非常规水源条件的园区，限期关闭企业生产用地下水自备水井。</w:t>
            </w:r>
          </w:p>
          <w:p>
            <w:pPr>
              <w:widowControl/>
              <w:ind w:left="0" w:leftChars="0" w:right="0" w:rightChars="0"/>
              <w:textAlignment w:val="center"/>
            </w:pPr>
            <w:r>
              <w:t>2.落实“中水”回用的基础设施及途径，清下水、污水处理厂尾水尽可能用作绿化、地面冲洗、道路喷洒等，减少开发区的新鲜水用量。</w:t>
            </w:r>
          </w:p>
          <w:p>
            <w:pPr>
              <w:widowControl/>
              <w:ind w:left="0" w:leftChars="0" w:right="0" w:rightChars="0"/>
              <w:textAlignment w:val="center"/>
            </w:pPr>
            <w:r>
              <w:t>3.实行地下水取用水总量控制和水位控制制度。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szCs w:val="21"/>
              </w:rPr>
            </w:pPr>
            <w:r>
              <w:rPr>
                <w:kern w:val="0"/>
                <w:szCs w:val="21"/>
                <w:lang w:bidi="ar"/>
              </w:rPr>
              <w:t>ZH15078320002</w:t>
            </w:r>
          </w:p>
        </w:tc>
        <w:tc>
          <w:tcPr>
            <w:tcW w:w="1127" w:type="dxa"/>
            <w:vMerge w:val="restart"/>
            <w:vAlign w:val="center"/>
          </w:tcPr>
          <w:p>
            <w:pPr>
              <w:widowControl/>
              <w:ind w:left="0" w:leftChars="0" w:right="0" w:rightChars="0"/>
              <w:jc w:val="center"/>
              <w:rPr>
                <w:szCs w:val="21"/>
              </w:rPr>
            </w:pPr>
            <w:r>
              <w:rPr>
                <w:kern w:val="0"/>
                <w:szCs w:val="21"/>
                <w:lang w:bidi="ar"/>
              </w:rPr>
              <w:t>扎兰屯市城镇空间</w:t>
            </w:r>
          </w:p>
        </w:tc>
        <w:tc>
          <w:tcPr>
            <w:tcW w:w="92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textAlignment w:val="center"/>
              <w:rPr>
                <w:kern w:val="0"/>
                <w:szCs w:val="21"/>
              </w:rPr>
            </w:pPr>
            <w:r>
              <w:rPr>
                <w:kern w:val="0"/>
                <w:szCs w:val="21"/>
                <w:lang w:bidi="ar"/>
              </w:rPr>
              <w:t>空间布局约束</w:t>
            </w:r>
          </w:p>
        </w:tc>
        <w:tc>
          <w:tcPr>
            <w:tcW w:w="5682" w:type="dxa"/>
            <w:vAlign w:val="center"/>
          </w:tcPr>
          <w:p>
            <w:pPr>
              <w:widowControl/>
              <w:ind w:left="0" w:leftChars="0" w:right="0" w:rightChars="0"/>
              <w:textAlignment w:val="center"/>
              <w:rPr>
                <w:szCs w:val="21"/>
              </w:rPr>
            </w:pPr>
            <w:r>
              <w:rPr>
                <w:szCs w:val="21"/>
              </w:rPr>
              <w:t>1.扩大城镇集中供热覆盖范围，加大燃煤小锅炉淘汰力度，鼓励采取太阳能、风能多能互补清洁取暖，旗</w:t>
            </w:r>
            <w:r>
              <w:t>市区</w:t>
            </w:r>
            <w:r>
              <w:rPr>
                <w:szCs w:val="21"/>
              </w:rPr>
              <w:t>城市建成区原则上不再新建35t/h</w:t>
            </w:r>
            <w:r>
              <w:rPr>
                <w:rFonts w:hint="eastAsia"/>
                <w:szCs w:val="21"/>
              </w:rPr>
              <w:t>及</w:t>
            </w:r>
            <w:r>
              <w:rPr>
                <w:szCs w:val="21"/>
              </w:rPr>
              <w:t>以下燃煤锅炉。</w:t>
            </w:r>
          </w:p>
          <w:p>
            <w:pPr>
              <w:widowControl/>
              <w:ind w:left="0" w:leftChars="0" w:right="0" w:rightChars="0"/>
              <w:textAlignment w:val="center"/>
            </w:pPr>
            <w:r>
              <w:rPr>
                <w:szCs w:val="21"/>
              </w:rP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textAlignment w:val="center"/>
              <w:rPr>
                <w:kern w:val="0"/>
                <w:szCs w:val="21"/>
              </w:rPr>
            </w:pPr>
            <w:r>
              <w:rPr>
                <w:kern w:val="0"/>
                <w:szCs w:val="21"/>
                <w:lang w:bidi="ar"/>
              </w:rPr>
              <w:t>污染物排放管控</w:t>
            </w:r>
          </w:p>
        </w:tc>
        <w:tc>
          <w:tcPr>
            <w:tcW w:w="5682" w:type="dxa"/>
            <w:vAlign w:val="center"/>
          </w:tcPr>
          <w:p>
            <w:pPr>
              <w:widowControl/>
              <w:ind w:left="0" w:leftChars="0" w:right="0" w:rightChars="0"/>
              <w:textAlignment w:val="center"/>
              <w:rPr>
                <w:szCs w:val="21"/>
              </w:rPr>
            </w:pPr>
            <w:r>
              <w:rPr>
                <w:szCs w:val="21"/>
              </w:rPr>
              <w:t>1.提升城镇生活污水收集管网覆盖率，逐步实施雨污管网分流改造、管网更新、破损修复、中水回用等工程。</w:t>
            </w:r>
          </w:p>
          <w:p>
            <w:pPr>
              <w:widowControl/>
              <w:ind w:left="0" w:leftChars="0" w:right="0" w:rightChars="0"/>
              <w:textAlignment w:val="center"/>
            </w:pPr>
            <w:r>
              <w:rPr>
                <w:szCs w:val="21"/>
              </w:rP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textAlignment w:val="center"/>
              <w:rPr>
                <w:kern w:val="0"/>
                <w:szCs w:val="21"/>
              </w:rPr>
            </w:pPr>
            <w:r>
              <w:rPr>
                <w:kern w:val="0"/>
                <w:szCs w:val="21"/>
                <w:lang w:bidi="ar"/>
              </w:rPr>
              <w:t>资源利用效率要求</w:t>
            </w:r>
          </w:p>
        </w:tc>
        <w:tc>
          <w:tcPr>
            <w:tcW w:w="5682" w:type="dxa"/>
            <w:vAlign w:val="center"/>
          </w:tcPr>
          <w:p>
            <w:pPr>
              <w:widowControl/>
              <w:ind w:left="0" w:leftChars="0" w:right="0" w:rightChars="0"/>
              <w:textAlignment w:val="center"/>
              <w:rPr>
                <w:szCs w:val="21"/>
              </w:rPr>
            </w:pPr>
            <w:r>
              <w:rPr>
                <w:rFonts w:hint="eastAsia"/>
                <w:szCs w:val="21"/>
              </w:rPr>
              <w:t>1.</w:t>
            </w:r>
            <w:r>
              <w:rPr>
                <w:szCs w:val="21"/>
              </w:rPr>
              <w:t>高污染燃料禁燃区内禁止销售、燃用高污染燃料；不得新建、改建和扩建使用高污染燃料的项目；现有使用高</w:t>
            </w:r>
            <w:r>
              <w:t>污染</w:t>
            </w:r>
            <w:r>
              <w:rPr>
                <w:szCs w:val="21"/>
              </w:rPr>
              <w:t>燃料的设施（集中供热除外）应当改用天然气、液化石油气、管道煤气或太阳能、电、轻质油等清洁能源。</w:t>
            </w:r>
          </w:p>
          <w:p>
            <w:pPr>
              <w:widowControl/>
              <w:ind w:left="0" w:leftChars="0" w:right="0" w:rightChars="0"/>
              <w:textAlignment w:val="center"/>
            </w:pPr>
            <w:r>
              <w:rPr>
                <w:rFonts w:hint="eastAsia"/>
              </w:rPr>
              <w:t>2.城市绿化优先使用再生水，严禁取用地下水用于城市水景观、水上娱乐项目和人工造雪。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szCs w:val="21"/>
              </w:rPr>
            </w:pPr>
            <w:r>
              <w:rPr>
                <w:szCs w:val="21"/>
              </w:rPr>
              <w:t>ZH15078320003</w:t>
            </w:r>
          </w:p>
        </w:tc>
        <w:tc>
          <w:tcPr>
            <w:tcW w:w="1127" w:type="dxa"/>
            <w:vMerge w:val="restart"/>
            <w:vAlign w:val="center"/>
          </w:tcPr>
          <w:p>
            <w:pPr>
              <w:widowControl/>
              <w:ind w:left="0" w:leftChars="0" w:right="0" w:rightChars="0"/>
              <w:jc w:val="center"/>
              <w:rPr>
                <w:szCs w:val="21"/>
              </w:rPr>
            </w:pPr>
            <w:r>
              <w:rPr>
                <w:rFonts w:hint="eastAsia"/>
                <w:szCs w:val="21"/>
              </w:rPr>
              <w:t>扎兰屯市大气环境高排放重点管控区</w:t>
            </w:r>
          </w:p>
        </w:tc>
        <w:tc>
          <w:tcPr>
            <w:tcW w:w="92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textAlignment w:val="center"/>
              <w:rPr>
                <w:kern w:val="0"/>
                <w:szCs w:val="21"/>
                <w:lang w:bidi="ar"/>
              </w:rPr>
            </w:pPr>
            <w:r>
              <w:rPr>
                <w:rFonts w:hint="eastAsia"/>
                <w:szCs w:val="21"/>
              </w:rPr>
              <w:t>空间布局约束</w:t>
            </w:r>
          </w:p>
        </w:tc>
        <w:tc>
          <w:tcPr>
            <w:tcW w:w="5682" w:type="dxa"/>
            <w:vAlign w:val="center"/>
          </w:tcPr>
          <w:p>
            <w:pPr>
              <w:widowControl/>
              <w:ind w:left="0" w:leftChars="0" w:right="0" w:rightChars="0"/>
              <w:textAlignment w:val="center"/>
              <w:rPr>
                <w:szCs w:val="21"/>
              </w:rPr>
            </w:pPr>
            <w:r>
              <w:rPr>
                <w:rFonts w:hint="eastAsia"/>
                <w:szCs w:val="21"/>
              </w:rPr>
              <w:t>1.加大火电、水泥、烧结砖瓦等行业落后产能淘汰和过剩产能压减力度，支持有色、煤炭、建材等传统产业企业加强技术创新、完善工艺流程，促进工业技改投资，推动传统产业行业深度治理和绿色低碳升级改造，实施减污降碳协同治理。巩固提升“散乱污”工业企业治理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textAlignment w:val="center"/>
              <w:rPr>
                <w:kern w:val="0"/>
                <w:szCs w:val="21"/>
                <w:lang w:bidi="ar"/>
              </w:rPr>
            </w:pPr>
            <w:r>
              <w:rPr>
                <w:rFonts w:hint="eastAsia"/>
                <w:szCs w:val="21"/>
              </w:rPr>
              <w:t>污染物排放管控</w:t>
            </w:r>
          </w:p>
        </w:tc>
        <w:tc>
          <w:tcPr>
            <w:tcW w:w="5682" w:type="dxa"/>
            <w:vAlign w:val="center"/>
          </w:tcPr>
          <w:p>
            <w:pPr>
              <w:widowControl/>
              <w:ind w:left="0" w:leftChars="0" w:right="0" w:rightChars="0"/>
              <w:textAlignment w:val="center"/>
              <w:rPr>
                <w:szCs w:val="21"/>
              </w:rPr>
            </w:pPr>
            <w:r>
              <w:rPr>
                <w:rFonts w:hint="eastAsia"/>
                <w:szCs w:val="21"/>
              </w:rPr>
              <w:t>1.严格落实污染物排放总量控制制度，把主要污染物排放总量指标作为环评审批的前置条件。</w:t>
            </w:r>
            <w:r>
              <w:rPr>
                <w:rFonts w:hint="eastAsia"/>
                <w:szCs w:val="21"/>
              </w:rPr>
              <w:br w:type="textWrapping"/>
            </w:r>
            <w:r>
              <w:rPr>
                <w:rFonts w:hint="eastAsia"/>
                <w:szCs w:val="21"/>
              </w:rPr>
              <w:t>2.新建、改扩建项目执行重点污染物特别排放</w:t>
            </w:r>
            <w:r>
              <w:rPr>
                <w:rFonts w:hint="eastAsia"/>
              </w:rPr>
              <w:t>限值</w:t>
            </w:r>
            <w:r>
              <w:rPr>
                <w:rFonts w:hint="eastAsia"/>
                <w:szCs w:val="21"/>
              </w:rPr>
              <w:t>。现有项目通过提标升级改造，重点污染物逐步达到特别排放限值。</w:t>
            </w:r>
            <w:r>
              <w:rPr>
                <w:rFonts w:hint="eastAsia"/>
                <w:szCs w:val="21"/>
              </w:rPr>
              <w:br w:type="textWrapping"/>
            </w:r>
            <w:r>
              <w:rPr>
                <w:rFonts w:hint="eastAsia"/>
                <w:szCs w:val="21"/>
              </w:rPr>
              <w:t>3.强化工业企业无组织排放管理。对物料（含废渣）储存、装卸、破碎、运输、转移和工艺过程等无组织排放实施深度治理。</w:t>
            </w:r>
            <w:r>
              <w:rPr>
                <w:rFonts w:hint="eastAsia"/>
                <w:szCs w:val="21"/>
              </w:rPr>
              <w:br w:type="textWrapping"/>
            </w:r>
            <w:r>
              <w:rPr>
                <w:rFonts w:hint="eastAsia"/>
                <w:szCs w:val="21"/>
              </w:rPr>
              <w:t>4.状物料（含废渣）和易起尘的块状物料必须进行全封闭，密闭储存；其他块状物料必须入棚入仓或建设防风抑尘网，安装抑尘设施。</w:t>
            </w:r>
            <w:r>
              <w:rPr>
                <w:rFonts w:hint="eastAsia"/>
                <w:szCs w:val="21"/>
              </w:rPr>
              <w:br w:type="textWrapping"/>
            </w:r>
            <w:r>
              <w:rPr>
                <w:rFonts w:hint="eastAsia"/>
                <w:szCs w:val="21"/>
              </w:rPr>
              <w:t>5.所有粉煤灰、电石渣等固废堆场要严格落实抑尘措施。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textAlignment w:val="center"/>
              <w:rPr>
                <w:kern w:val="0"/>
                <w:szCs w:val="21"/>
                <w:lang w:bidi="ar"/>
              </w:rPr>
            </w:pPr>
            <w:r>
              <w:rPr>
                <w:rFonts w:hint="eastAsia"/>
                <w:szCs w:val="21"/>
              </w:rPr>
              <w:t>资源开发效率</w:t>
            </w:r>
          </w:p>
        </w:tc>
        <w:tc>
          <w:tcPr>
            <w:tcW w:w="5682" w:type="dxa"/>
            <w:vAlign w:val="center"/>
          </w:tcPr>
          <w:p>
            <w:pPr>
              <w:widowControl/>
              <w:ind w:left="0" w:leftChars="0" w:right="0" w:rightChars="0"/>
              <w:textAlignment w:val="center"/>
              <w:rPr>
                <w:szCs w:val="21"/>
              </w:rPr>
            </w:pPr>
            <w:r>
              <w:rPr>
                <w:rFonts w:hint="eastAsia"/>
                <w:szCs w:val="21"/>
              </w:rPr>
              <w:t>推进能耗强度和总量“双控”，狠抓工业领域节能管理。优化能源产业结构，逐步提高新能源装机比重，煤炭占能源消费总量比重逐年下降。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szCs w:val="21"/>
              </w:rPr>
            </w:pPr>
            <w:r>
              <w:rPr>
                <w:rFonts w:hint="eastAsia"/>
                <w:szCs w:val="21"/>
              </w:rPr>
              <w:t>ZH15078320005</w:t>
            </w:r>
          </w:p>
        </w:tc>
        <w:tc>
          <w:tcPr>
            <w:tcW w:w="1127" w:type="dxa"/>
            <w:vMerge w:val="restart"/>
            <w:vAlign w:val="center"/>
          </w:tcPr>
          <w:p>
            <w:pPr>
              <w:widowControl/>
              <w:ind w:left="0" w:leftChars="0" w:right="0" w:rightChars="0"/>
              <w:jc w:val="center"/>
              <w:rPr>
                <w:szCs w:val="21"/>
              </w:rPr>
            </w:pPr>
            <w:r>
              <w:rPr>
                <w:rFonts w:hint="eastAsia"/>
                <w:szCs w:val="21"/>
              </w:rPr>
              <w:t>扎兰屯市非金属矿</w:t>
            </w:r>
          </w:p>
        </w:tc>
        <w:tc>
          <w:tcPr>
            <w:tcW w:w="92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rPr>
            </w:pPr>
            <w:r>
              <w:rPr>
                <w:kern w:val="0"/>
                <w:szCs w:val="21"/>
                <w:lang w:bidi="ar"/>
              </w:rPr>
              <w:t>空间布局约束</w:t>
            </w:r>
          </w:p>
        </w:tc>
        <w:tc>
          <w:tcPr>
            <w:tcW w:w="568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rPr>
                <w:kern w:val="0"/>
                <w:szCs w:val="21"/>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rPr>
            </w:pPr>
            <w:r>
              <w:rPr>
                <w:kern w:val="0"/>
                <w:szCs w:val="21"/>
                <w:lang w:bidi="ar"/>
              </w:rPr>
              <w:t>污染物排放管控</w:t>
            </w:r>
          </w:p>
        </w:tc>
        <w:tc>
          <w:tcPr>
            <w:tcW w:w="5682"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w:t>
            </w:r>
            <w:r>
              <w:t>治理</w:t>
            </w:r>
            <w:r>
              <w:rPr>
                <w:szCs w:val="21"/>
              </w:rPr>
              <w:t>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rPr>
            </w:pPr>
            <w:r>
              <w:rPr>
                <w:szCs w:val="21"/>
              </w:rPr>
              <w:t>3.</w:t>
            </w:r>
            <w:r>
              <w:rPr>
                <w:rFonts w:hint="eastAsia"/>
                <w:szCs w:val="21"/>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rPr>
            </w:pPr>
            <w:r>
              <w:rPr>
                <w:szCs w:val="21"/>
              </w:rPr>
              <w:t>环境风险防控</w:t>
            </w:r>
          </w:p>
        </w:tc>
        <w:tc>
          <w:tcPr>
            <w:tcW w:w="5682" w:type="dxa"/>
            <w:vAlign w:val="center"/>
          </w:tcPr>
          <w:p>
            <w:pPr>
              <w:widowControl/>
              <w:ind w:left="0" w:leftChars="0" w:right="0" w:rightChars="0"/>
              <w:textAlignment w:val="center"/>
              <w:rPr>
                <w:szCs w:val="21"/>
              </w:rPr>
            </w:pPr>
            <w:r>
              <w:rPr>
                <w:szCs w:val="21"/>
              </w:rPr>
              <w:t>1.制定环境风险应急预案，成立应急组织机构，配备必要的应急设施和应急物资，定期开展环境风险应急</w:t>
            </w:r>
            <w:r>
              <w:t>演练</w:t>
            </w:r>
            <w:r>
              <w:rPr>
                <w:szCs w:val="21"/>
              </w:rPr>
              <w:t>。</w:t>
            </w:r>
          </w:p>
          <w:p>
            <w:pPr>
              <w:widowControl/>
              <w:ind w:left="0" w:leftChars="0" w:right="0" w:rightChars="0"/>
              <w:textAlignment w:val="center"/>
              <w:rPr>
                <w:kern w:val="0"/>
                <w:szCs w:val="21"/>
              </w:rPr>
            </w:pPr>
            <w:r>
              <w:rPr>
                <w:szCs w:val="21"/>
              </w:rPr>
              <w:t>2.全面整治历史遗留尾矿库，完善覆膜、压土、排洪、堤坝加固等隐患治理和闭库措施。有重点监管尾矿库的企业要开展环境风险评估，完善污染治理设施，储备应急物资。加强对矿产资源开发利用活动的辐射安全监管，有关企业</w:t>
            </w:r>
            <w:r>
              <w:t>每年</w:t>
            </w:r>
            <w:r>
              <w:rPr>
                <w:szCs w:val="21"/>
              </w:rPr>
              <w:t>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rPr>
            </w:pPr>
            <w:r>
              <w:rPr>
                <w:kern w:val="0"/>
                <w:szCs w:val="21"/>
                <w:lang w:bidi="ar"/>
              </w:rPr>
              <w:t>资源利用效率要求</w:t>
            </w:r>
          </w:p>
        </w:tc>
        <w:tc>
          <w:tcPr>
            <w:tcW w:w="5682" w:type="dxa"/>
            <w:vAlign w:val="center"/>
          </w:tcPr>
          <w:p>
            <w:pPr>
              <w:widowControl/>
              <w:ind w:left="0" w:leftChars="0" w:right="0" w:rightChars="0"/>
              <w:textAlignment w:val="center"/>
              <w:rPr>
                <w:kern w:val="0"/>
                <w:szCs w:val="21"/>
              </w:rPr>
            </w:pPr>
            <w:r>
              <w:rPr>
                <w:szCs w:val="21"/>
              </w:rPr>
              <w:t>2025年，矿山“三率”水平达标率达95%以上，废水利用率达85%以上，固废处理率100%，生产</w:t>
            </w:r>
            <w:r>
              <w:t>矿山</w:t>
            </w:r>
            <w:r>
              <w:rPr>
                <w:szCs w:val="21"/>
              </w:rPr>
              <w:t>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pStyle w:val="2"/>
              <w:ind w:left="0" w:leftChars="0" w:firstLine="0"/>
              <w:jc w:val="center"/>
            </w:pPr>
            <w:r>
              <w:rPr>
                <w:rFonts w:hint="eastAsia"/>
              </w:rPr>
              <w:t>ZH1507832000</w:t>
            </w:r>
            <w:r>
              <w:t>4</w:t>
            </w:r>
          </w:p>
        </w:tc>
        <w:tc>
          <w:tcPr>
            <w:tcW w:w="1127" w:type="dxa"/>
            <w:vMerge w:val="restart"/>
            <w:vAlign w:val="center"/>
          </w:tcPr>
          <w:p>
            <w:pPr>
              <w:pStyle w:val="2"/>
              <w:ind w:left="0" w:leftChars="0" w:firstLine="0"/>
              <w:jc w:val="center"/>
            </w:pPr>
            <w:r>
              <w:rPr>
                <w:rFonts w:hint="eastAsia"/>
              </w:rPr>
              <w:t>扎兰屯市金属矿</w:t>
            </w:r>
          </w:p>
        </w:tc>
        <w:tc>
          <w:tcPr>
            <w:tcW w:w="92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rPr>
            </w:pPr>
            <w:r>
              <w:rPr>
                <w:kern w:val="0"/>
                <w:szCs w:val="21"/>
                <w:lang w:bidi="ar"/>
              </w:rPr>
              <w:t>空间布局约束</w:t>
            </w:r>
          </w:p>
        </w:tc>
        <w:tc>
          <w:tcPr>
            <w:tcW w:w="568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widowControl/>
              <w:ind w:left="0" w:leftChars="0" w:right="0" w:rightChars="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rPr>
                <w:kern w:val="0"/>
                <w:szCs w:val="21"/>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rPr>
            </w:pPr>
            <w:r>
              <w:rPr>
                <w:kern w:val="0"/>
                <w:szCs w:val="21"/>
                <w:lang w:bidi="ar"/>
              </w:rPr>
              <w:t>污染物排放管控</w:t>
            </w:r>
          </w:p>
        </w:tc>
        <w:tc>
          <w:tcPr>
            <w:tcW w:w="5682"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tabs>
                <w:tab w:val="left" w:pos="312"/>
              </w:tabs>
              <w:jc w:val="left"/>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rPr>
            </w:pPr>
            <w:r>
              <w:rPr>
                <w:szCs w:val="21"/>
              </w:rPr>
              <w:t>3.</w:t>
            </w:r>
            <w:r>
              <w:rPr>
                <w:rFonts w:hint="eastAsia"/>
                <w:szCs w:val="21"/>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rPr>
            </w:pPr>
            <w:r>
              <w:rPr>
                <w:szCs w:val="21"/>
              </w:rPr>
              <w:t>环境风险防控</w:t>
            </w:r>
          </w:p>
        </w:tc>
        <w:tc>
          <w:tcPr>
            <w:tcW w:w="5682" w:type="dxa"/>
            <w:vAlign w:val="center"/>
          </w:tcPr>
          <w:p>
            <w:pPr>
              <w:widowControl/>
              <w:ind w:left="0" w:leftChars="0" w:right="0" w:rightChars="0"/>
              <w:textAlignment w:val="center"/>
              <w:rPr>
                <w:szCs w:val="21"/>
              </w:rPr>
            </w:pPr>
            <w:r>
              <w:rPr>
                <w:szCs w:val="21"/>
              </w:rPr>
              <w:t>1.制定环境风险应急预案，成立应急组织机构，配备必要的应急设施和应急物资，定期开展环境风险应急演练。</w:t>
            </w:r>
          </w:p>
          <w:p>
            <w:pPr>
              <w:widowControl/>
              <w:ind w:left="0" w:leftChars="0" w:right="0" w:rightChars="0"/>
              <w:textAlignment w:val="center"/>
              <w:rPr>
                <w:kern w:val="0"/>
                <w:szCs w:val="21"/>
              </w:rPr>
            </w:pPr>
            <w:r>
              <w:rPr>
                <w:szCs w:val="21"/>
              </w:rP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27" w:type="dxa"/>
            <w:vMerge w:val="continue"/>
            <w:vAlign w:val="center"/>
          </w:tcPr>
          <w:p>
            <w:pPr>
              <w:widowControl/>
              <w:ind w:left="0" w:leftChars="0" w:right="0" w:rightChars="0"/>
              <w:jc w:val="center"/>
              <w:rPr>
                <w:szCs w:val="21"/>
              </w:rPr>
            </w:pPr>
          </w:p>
        </w:tc>
        <w:tc>
          <w:tcPr>
            <w:tcW w:w="92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rPr>
            </w:pPr>
            <w:r>
              <w:rPr>
                <w:kern w:val="0"/>
                <w:szCs w:val="21"/>
                <w:lang w:bidi="ar"/>
              </w:rPr>
              <w:t>资源利用效率要求</w:t>
            </w:r>
          </w:p>
        </w:tc>
        <w:tc>
          <w:tcPr>
            <w:tcW w:w="5682" w:type="dxa"/>
            <w:vAlign w:val="center"/>
          </w:tcPr>
          <w:p>
            <w:pPr>
              <w:widowControl/>
              <w:ind w:left="0" w:leftChars="0" w:right="0" w:rightChars="0"/>
              <w:textAlignment w:val="center"/>
              <w:rPr>
                <w:kern w:val="0"/>
                <w:szCs w:val="21"/>
              </w:rPr>
            </w:pPr>
            <w:r>
              <w:rPr>
                <w:szCs w:val="21"/>
              </w:rP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kern w:val="0"/>
                <w:szCs w:val="21"/>
                <w:lang w:bidi="ar"/>
              </w:rPr>
            </w:pPr>
            <w:bookmarkStart w:id="45" w:name="_Hlk84624019"/>
            <w:r>
              <w:rPr>
                <w:kern w:val="0"/>
                <w:szCs w:val="21"/>
                <w:lang w:bidi="ar"/>
              </w:rPr>
              <w:t>ZH15078330001</w:t>
            </w:r>
          </w:p>
        </w:tc>
        <w:tc>
          <w:tcPr>
            <w:tcW w:w="1127" w:type="dxa"/>
            <w:vAlign w:val="center"/>
          </w:tcPr>
          <w:p>
            <w:pPr>
              <w:widowControl/>
              <w:ind w:left="0" w:leftChars="0" w:right="0" w:rightChars="0"/>
              <w:jc w:val="center"/>
              <w:rPr>
                <w:kern w:val="0"/>
                <w:szCs w:val="21"/>
                <w:lang w:bidi="ar"/>
              </w:rPr>
            </w:pPr>
            <w:r>
              <w:rPr>
                <w:kern w:val="0"/>
                <w:szCs w:val="21"/>
                <w:lang w:bidi="ar"/>
              </w:rPr>
              <w:t>扎兰屯市一般管控单元</w:t>
            </w:r>
          </w:p>
        </w:tc>
        <w:tc>
          <w:tcPr>
            <w:tcW w:w="928" w:type="dxa"/>
            <w:vAlign w:val="center"/>
          </w:tcPr>
          <w:p>
            <w:pPr>
              <w:widowControl/>
              <w:ind w:left="0" w:leftChars="0" w:right="0" w:rightChars="0"/>
              <w:jc w:val="center"/>
              <w:rPr>
                <w:szCs w:val="21"/>
              </w:rPr>
            </w:pPr>
            <w:r>
              <w:rPr>
                <w:szCs w:val="21"/>
              </w:rPr>
              <w:t>一般管控单元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82" w:type="dxa"/>
            <w:vAlign w:val="center"/>
          </w:tcPr>
          <w:p>
            <w:pPr>
              <w:widowControl/>
              <w:ind w:left="0" w:leftChars="0" w:right="0" w:rightChars="0"/>
              <w:textAlignment w:val="center"/>
              <w:rPr>
                <w:szCs w:val="21"/>
              </w:rPr>
            </w:pPr>
            <w:r>
              <w:rPr>
                <w:szCs w:val="21"/>
              </w:rP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rPr>
                <w:szCs w:val="21"/>
              </w:rPr>
            </w:pPr>
            <w:r>
              <w:rPr>
                <w:szCs w:val="21"/>
              </w:rPr>
              <w:t xml:space="preserve">2.在永久基本农田集中区域，不得新建可能造成土壤污染的建设项目；已经建成的，应当限期关闭拆除。 </w:t>
            </w:r>
          </w:p>
        </w:tc>
      </w:tr>
      <w:bookmarkEnd w:id="45"/>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46" w:name="_Toc142233281"/>
      <w:r>
        <w:rPr>
          <w:rFonts w:ascii="Times New Roman" w:hAnsi="Times New Roman" w:eastAsia="仿宋_GB2312"/>
        </w:rPr>
        <w:t>（五）呼伦贝尔市额尔古纳市生态环境准入清单</w:t>
      </w:r>
      <w:bookmarkEnd w:id="46"/>
    </w:p>
    <w:p>
      <w:pPr>
        <w:ind w:left="0" w:leftChars="0" w:right="0" w:rightChars="0"/>
        <w:jc w:val="center"/>
        <w:rPr>
          <w:b/>
          <w:bCs/>
          <w:sz w:val="28"/>
          <w:szCs w:val="28"/>
        </w:rPr>
      </w:pPr>
      <w:r>
        <w:rPr>
          <w:b/>
          <w:bCs/>
          <w:sz w:val="28"/>
          <w:szCs w:val="28"/>
        </w:rPr>
        <w:t>表5呼伦贝尔市额尔古纳市生态环境准入清单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683"/>
        <w:gridCol w:w="1348"/>
        <w:gridCol w:w="100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84" w:type="dxa"/>
            <w:vAlign w:val="center"/>
          </w:tcPr>
          <w:p>
            <w:pPr>
              <w:widowControl/>
              <w:ind w:left="0" w:leftChars="0" w:right="0" w:rightChars="0"/>
              <w:jc w:val="center"/>
              <w:rPr>
                <w:b/>
                <w:bCs/>
                <w:szCs w:val="21"/>
              </w:rPr>
            </w:pPr>
            <w:r>
              <w:rPr>
                <w:b/>
                <w:bCs/>
                <w:szCs w:val="21"/>
              </w:rPr>
              <w:t>环境管控单元编码</w:t>
            </w:r>
          </w:p>
        </w:tc>
        <w:tc>
          <w:tcPr>
            <w:tcW w:w="1135" w:type="dxa"/>
            <w:vAlign w:val="center"/>
          </w:tcPr>
          <w:p>
            <w:pPr>
              <w:widowControl/>
              <w:ind w:left="0" w:leftChars="0" w:right="0" w:rightChars="0"/>
              <w:jc w:val="center"/>
              <w:rPr>
                <w:b/>
                <w:bCs/>
                <w:szCs w:val="21"/>
              </w:rPr>
            </w:pPr>
            <w:r>
              <w:rPr>
                <w:b/>
                <w:bCs/>
                <w:szCs w:val="21"/>
              </w:rPr>
              <w:t>环境管控单元名称</w:t>
            </w:r>
          </w:p>
        </w:tc>
        <w:tc>
          <w:tcPr>
            <w:tcW w:w="909" w:type="dxa"/>
            <w:vAlign w:val="center"/>
          </w:tcPr>
          <w:p>
            <w:pPr>
              <w:widowControl/>
              <w:ind w:left="0" w:leftChars="0" w:right="0" w:rightChars="0"/>
              <w:jc w:val="center"/>
              <w:rPr>
                <w:b/>
                <w:bCs/>
                <w:szCs w:val="21"/>
              </w:rPr>
            </w:pPr>
            <w:r>
              <w:rPr>
                <w:b/>
                <w:bCs/>
                <w:szCs w:val="21"/>
              </w:rPr>
              <w:t>管控单元类别</w:t>
            </w:r>
          </w:p>
        </w:tc>
        <w:tc>
          <w:tcPr>
            <w:tcW w:w="6432"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ZH15078410001</w:t>
            </w:r>
          </w:p>
        </w:tc>
        <w:tc>
          <w:tcPr>
            <w:tcW w:w="1135" w:type="dxa"/>
            <w:vAlign w:val="center"/>
          </w:tcPr>
          <w:p>
            <w:pPr>
              <w:widowControl/>
              <w:ind w:left="0" w:leftChars="0" w:right="0" w:rightChars="0"/>
              <w:jc w:val="center"/>
              <w:rPr>
                <w:szCs w:val="21"/>
              </w:rPr>
            </w:pPr>
            <w:r>
              <w:rPr>
                <w:rFonts w:hint="eastAsia"/>
                <w:szCs w:val="21"/>
              </w:rPr>
              <w:t>内蒙古伊克萨玛国家森林公园</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szCs w:val="21"/>
              </w:rPr>
            </w:pPr>
            <w:r>
              <w:rPr>
                <w:kern w:val="0"/>
                <w:szCs w:val="21"/>
                <w:lang w:bidi="ar"/>
              </w:rPr>
              <w:t>空间布局约束</w:t>
            </w:r>
          </w:p>
        </w:tc>
        <w:tc>
          <w:tcPr>
            <w:tcW w:w="5757"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p>
          <w:p>
            <w:pPr>
              <w:widowControl/>
              <w:ind w:left="0" w:leftChars="0" w:right="0" w:rightChars="0"/>
              <w:textAlignment w:val="center"/>
              <w:rPr>
                <w:szCs w:val="21"/>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ZH15078410002</w:t>
            </w:r>
          </w:p>
        </w:tc>
        <w:tc>
          <w:tcPr>
            <w:tcW w:w="1135" w:type="dxa"/>
            <w:vAlign w:val="center"/>
          </w:tcPr>
          <w:p>
            <w:pPr>
              <w:widowControl/>
              <w:ind w:left="0" w:leftChars="0" w:right="0" w:rightChars="0"/>
              <w:jc w:val="center"/>
              <w:rPr>
                <w:szCs w:val="21"/>
              </w:rPr>
            </w:pPr>
            <w:r>
              <w:rPr>
                <w:rFonts w:hint="eastAsia"/>
                <w:szCs w:val="21"/>
              </w:rPr>
              <w:t>呼伦贝尔草原生物多样性维护和防风固沙生态保护红线</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2.禁止生物多样性维护生态功能区的大规模水电开发和林纸一体化产业发展；</w:t>
            </w:r>
          </w:p>
          <w:p>
            <w:pPr>
              <w:widowControl/>
              <w:ind w:left="0" w:leftChars="0" w:right="0" w:rightChars="0"/>
              <w:textAlignment w:val="center"/>
            </w:pPr>
            <w:r>
              <w:t>3.降低防风固沙生态功能区的农牧业开发强度；禁止过度开垦、不适当樵采和超载过牧，退牧还草，防治草场退化沙化；</w:t>
            </w:r>
          </w:p>
          <w:p>
            <w:pPr>
              <w:widowControl/>
              <w:ind w:left="0" w:leftChars="0" w:right="0" w:rightChars="0"/>
              <w:textAlignment w:val="center"/>
            </w:pPr>
            <w:r>
              <w:t>4.转变畜牧业生产方式，实行禁牧休牧，推行舍饲圈养，以草定畜，严格控制载畜量。加大退耕还林、退牧还草力度，恢复草原植被。加强对内陆河流的规划和管理，保护沙区湿地，禁止发展高耗水工业。对主要沙尘源区、沙尘暴频发区实行封禁管理</w:t>
            </w:r>
            <w:r>
              <w:rPr>
                <w:rFonts w:hint="eastAsia"/>
              </w:rPr>
              <w:t>；</w:t>
            </w:r>
          </w:p>
          <w:p>
            <w:pPr>
              <w:widowControl/>
              <w:ind w:left="0" w:leftChars="0" w:right="0" w:rightChars="0"/>
              <w:textAlignment w:val="center"/>
              <w:rPr>
                <w:kern w:val="0"/>
                <w:sz w:val="20"/>
                <w:szCs w:val="20"/>
                <w:lang w:bidi="ar"/>
              </w:rPr>
            </w:pPr>
            <w:r>
              <w:rPr>
                <w:rFonts w:hint="eastAsia"/>
              </w:rPr>
              <w:t>5.</w:t>
            </w:r>
            <w:r>
              <w:t>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4" w:type="dxa"/>
            <w:vAlign w:val="center"/>
          </w:tcPr>
          <w:p>
            <w:pPr>
              <w:widowControl/>
              <w:ind w:left="0" w:leftChars="0" w:right="0" w:rightChars="0"/>
              <w:jc w:val="center"/>
              <w:rPr>
                <w:szCs w:val="21"/>
              </w:rPr>
            </w:pPr>
            <w:r>
              <w:rPr>
                <w:rFonts w:hint="eastAsia"/>
                <w:szCs w:val="21"/>
              </w:rPr>
              <w:t>ZH15078410003</w:t>
            </w:r>
          </w:p>
        </w:tc>
        <w:tc>
          <w:tcPr>
            <w:tcW w:w="1135" w:type="dxa"/>
            <w:vAlign w:val="center"/>
          </w:tcPr>
          <w:p>
            <w:pPr>
              <w:widowControl/>
              <w:ind w:left="0" w:leftChars="0" w:right="0" w:rightChars="0"/>
              <w:jc w:val="center"/>
              <w:rPr>
                <w:szCs w:val="21"/>
              </w:rPr>
            </w:pPr>
            <w:r>
              <w:rPr>
                <w:rFonts w:hint="eastAsia"/>
                <w:szCs w:val="21"/>
              </w:rPr>
              <w:t>大兴安岭水源涵养和生物多样性维护生态保护红线</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p>
          <w:p>
            <w:pPr>
              <w:widowControl/>
              <w:ind w:left="0" w:leftChars="0" w:right="0" w:rightChars="0"/>
              <w:textAlignment w:val="center"/>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4.禁止生物多样性维护生态功能区的大规模水电开发和林纸一体化产业发展。</w:t>
            </w:r>
          </w:p>
          <w:p>
            <w:pPr>
              <w:widowControl/>
              <w:ind w:left="0" w:leftChars="0" w:right="0" w:rightChars="0"/>
              <w:textAlignment w:val="center"/>
              <w:rPr>
                <w:kern w:val="0"/>
                <w:sz w:val="20"/>
                <w:szCs w:val="20"/>
                <w:lang w:bidi="ar"/>
              </w:rP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ZH15078410004</w:t>
            </w:r>
          </w:p>
        </w:tc>
        <w:tc>
          <w:tcPr>
            <w:tcW w:w="1135" w:type="dxa"/>
            <w:vAlign w:val="center"/>
          </w:tcPr>
          <w:p>
            <w:pPr>
              <w:widowControl/>
              <w:ind w:left="0" w:leftChars="0" w:right="0" w:rightChars="0"/>
              <w:jc w:val="center"/>
              <w:rPr>
                <w:szCs w:val="21"/>
              </w:rPr>
            </w:pPr>
            <w:r>
              <w:rPr>
                <w:rFonts w:hint="eastAsia"/>
                <w:szCs w:val="21"/>
              </w:rPr>
              <w:t>额尔古纳市集中式饮用水水源地</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rPr>
                <w:kern w:val="0"/>
                <w:sz w:val="20"/>
                <w:szCs w:val="20"/>
                <w:lang w:bidi="ar"/>
              </w:rP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ZH15078410005</w:t>
            </w:r>
          </w:p>
        </w:tc>
        <w:tc>
          <w:tcPr>
            <w:tcW w:w="1135" w:type="dxa"/>
            <w:vAlign w:val="center"/>
          </w:tcPr>
          <w:p>
            <w:pPr>
              <w:widowControl/>
              <w:ind w:left="0" w:leftChars="0" w:right="0" w:rightChars="0"/>
              <w:jc w:val="center"/>
              <w:rPr>
                <w:szCs w:val="21"/>
              </w:rPr>
            </w:pPr>
            <w:r>
              <w:rPr>
                <w:rFonts w:hint="eastAsia"/>
                <w:szCs w:val="21"/>
              </w:rPr>
              <w:t>额尔古纳市集中式饮用水水源地</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rPr>
                <w:kern w:val="0"/>
                <w:szCs w:val="21"/>
                <w:lang w:bidi="ar"/>
              </w:rPr>
            </w:pPr>
            <w:r>
              <w:rPr>
                <w:kern w:val="0"/>
                <w:szCs w:val="21"/>
                <w:lang w:bidi="ar"/>
              </w:rPr>
              <w:t>1.在饮用水水源准保护区内，禁止下列行为：</w:t>
            </w:r>
          </w:p>
          <w:p>
            <w:pPr>
              <w:widowControl/>
              <w:ind w:left="0" w:leftChars="0" w:right="0" w:rightChars="0"/>
              <w:textAlignment w:val="center"/>
              <w:rPr>
                <w:kern w:val="0"/>
                <w:szCs w:val="21"/>
                <w:lang w:bidi="ar"/>
              </w:rPr>
            </w:pPr>
            <w:r>
              <w:rPr>
                <w:kern w:val="0"/>
                <w:szCs w:val="21"/>
                <w:lang w:bidi="ar"/>
              </w:rP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rPr>
                <w:kern w:val="0"/>
                <w:szCs w:val="21"/>
                <w:lang w:bidi="ar"/>
              </w:rPr>
            </w:pPr>
            <w:r>
              <w:rPr>
                <w:kern w:val="0"/>
                <w:szCs w:val="21"/>
                <w:lang w:bidi="ar"/>
              </w:rPr>
              <w:t>2.在饮用水水源二级保护区内，除饮用水水源准保护区内禁止的行为外，还禁止下列行为：</w:t>
            </w:r>
          </w:p>
          <w:p>
            <w:pPr>
              <w:widowControl/>
              <w:ind w:left="0" w:leftChars="0" w:right="0" w:rightChars="0"/>
              <w:textAlignment w:val="center"/>
              <w:rPr>
                <w:kern w:val="0"/>
                <w:szCs w:val="21"/>
                <w:lang w:bidi="ar"/>
              </w:rPr>
            </w:pPr>
            <w:r>
              <w:rPr>
                <w:kern w:val="0"/>
                <w:szCs w:val="21"/>
                <w:lang w:bidi="ar"/>
              </w:rP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rPr>
                <w:kern w:val="0"/>
                <w:szCs w:val="21"/>
                <w:lang w:bidi="ar"/>
              </w:rPr>
            </w:pPr>
            <w:r>
              <w:rPr>
                <w:kern w:val="0"/>
                <w:szCs w:val="21"/>
                <w:lang w:bidi="ar"/>
              </w:rPr>
              <w:t>3.在饮用水水源一级保护区内，除饮用水水源准保护区、二级保护区内禁止的行为外，还禁止下列行为：</w:t>
            </w:r>
          </w:p>
          <w:p>
            <w:pPr>
              <w:widowControl/>
              <w:ind w:left="0" w:leftChars="0" w:right="0" w:rightChars="0"/>
              <w:textAlignment w:val="center"/>
              <w:rPr>
                <w:kern w:val="0"/>
                <w:szCs w:val="21"/>
                <w:lang w:bidi="ar"/>
              </w:rPr>
            </w:pPr>
            <w:r>
              <w:rPr>
                <w:kern w:val="0"/>
                <w:szCs w:val="21"/>
                <w:lang w:bidi="ar"/>
              </w:rP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rPr>
                <w:kern w:val="0"/>
                <w:szCs w:val="21"/>
                <w:lang w:bidi="ar"/>
              </w:rPr>
            </w:pPr>
            <w:r>
              <w:rPr>
                <w:kern w:val="0"/>
                <w:szCs w:val="21"/>
                <w:lang w:bidi="ar"/>
              </w:rP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rPr>
                <w:kern w:val="0"/>
                <w:szCs w:val="21"/>
                <w:lang w:bidi="ar"/>
              </w:rPr>
            </w:pPr>
            <w:r>
              <w:rPr>
                <w:kern w:val="0"/>
                <w:szCs w:val="21"/>
                <w:lang w:bidi="ar"/>
              </w:rPr>
              <w:t>5. 在饮用水水源一级保护区内已建成的与供水设施和保护水源无关的建设项目，由旗县级以上人民政府责令拆除或者关闭。</w:t>
            </w:r>
          </w:p>
          <w:p>
            <w:pPr>
              <w:widowControl/>
              <w:ind w:left="0" w:leftChars="0" w:right="0" w:rightChars="0"/>
              <w:textAlignment w:val="center"/>
              <w:rPr>
                <w:kern w:val="0"/>
                <w:sz w:val="20"/>
                <w:szCs w:val="20"/>
                <w:lang w:bidi="ar"/>
              </w:rP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ZH15078410006</w:t>
            </w:r>
          </w:p>
        </w:tc>
        <w:tc>
          <w:tcPr>
            <w:tcW w:w="1135" w:type="dxa"/>
            <w:vAlign w:val="center"/>
          </w:tcPr>
          <w:p>
            <w:pPr>
              <w:widowControl/>
              <w:ind w:left="0" w:leftChars="0" w:right="0" w:rightChars="0"/>
              <w:jc w:val="center"/>
              <w:rPr>
                <w:szCs w:val="21"/>
              </w:rPr>
            </w:pPr>
            <w:r>
              <w:rPr>
                <w:rFonts w:hint="eastAsia"/>
                <w:szCs w:val="21"/>
              </w:rPr>
              <w:t>额尔古纳市水源涵养生态功能重要区域</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rPr>
                <w:szCs w:val="21"/>
              </w:rPr>
            </w:pPr>
            <w:r>
              <w:rPr>
                <w:szCs w:val="21"/>
              </w:rPr>
              <w:t>1.严格保护具有水源涵养功能的自然植被，禁止过度放牧、无序采矿、毁林开荒、开垦草原等行为；</w:t>
            </w:r>
          </w:p>
          <w:p>
            <w:pPr>
              <w:widowControl/>
              <w:ind w:left="0" w:leftChars="0" w:right="0" w:rightChars="0"/>
              <w:textAlignment w:val="center"/>
              <w:rPr>
                <w:szCs w:val="21"/>
              </w:rPr>
            </w:pPr>
            <w:r>
              <w:rPr>
                <w:szCs w:val="21"/>
              </w:rPr>
              <w:t>2.禁止新建高水资源消耗产业。</w:t>
            </w:r>
          </w:p>
          <w:p>
            <w:pPr>
              <w:widowControl/>
              <w:ind w:left="0" w:leftChars="0" w:right="0" w:rightChars="0"/>
              <w:textAlignment w:val="center"/>
            </w:pPr>
            <w:r>
              <w:rPr>
                <w:rFonts w:hint="eastAsia"/>
                <w:szCs w:val="21"/>
              </w:rPr>
              <w:t>3.额尔古纳市水源涵养生态功能重要区域</w:t>
            </w:r>
            <w:r>
              <w:rPr>
                <w:rFonts w:hint="eastAsia"/>
              </w:rPr>
              <w:t>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4" w:type="dxa"/>
            <w:vAlign w:val="center"/>
          </w:tcPr>
          <w:p>
            <w:pPr>
              <w:widowControl/>
              <w:ind w:left="0" w:leftChars="0" w:right="0" w:rightChars="0"/>
              <w:jc w:val="center"/>
              <w:rPr>
                <w:szCs w:val="21"/>
              </w:rPr>
            </w:pPr>
            <w:r>
              <w:rPr>
                <w:rFonts w:hint="eastAsia"/>
                <w:szCs w:val="21"/>
              </w:rPr>
              <w:t>ZH15078410007</w:t>
            </w:r>
          </w:p>
        </w:tc>
        <w:tc>
          <w:tcPr>
            <w:tcW w:w="1135" w:type="dxa"/>
            <w:vAlign w:val="center"/>
          </w:tcPr>
          <w:p>
            <w:pPr>
              <w:widowControl/>
              <w:ind w:left="0" w:leftChars="0" w:right="0" w:rightChars="0"/>
              <w:jc w:val="center"/>
              <w:rPr>
                <w:szCs w:val="21"/>
              </w:rPr>
            </w:pPr>
            <w:r>
              <w:rPr>
                <w:rFonts w:hint="eastAsia"/>
                <w:szCs w:val="21"/>
              </w:rPr>
              <w:t>内蒙古额尔古纳国家级自然保护区</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pStyle w:val="2"/>
              <w:ind w:left="0" w:leftChars="0" w:right="0" w:rightChars="0" w:firstLine="0"/>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pStyle w:val="2"/>
              <w:ind w:left="0" w:leftChars="0" w:right="0" w:rightChars="0" w:firstLine="0"/>
              <w:rPr>
                <w:kern w:val="0"/>
              </w:rPr>
            </w:pPr>
            <w:r>
              <w:rPr>
                <w:kern w:val="0"/>
              </w:rPr>
              <w:t>2.因教学科研的目的，需要进入自然保护区的缓冲区从事非破坏性的科学研究、教学实习和标本采集活动的，应当事先向自然保护区管理机构提交申请和活动计划，经自然保护区管理机构批准。</w:t>
            </w:r>
          </w:p>
          <w:p>
            <w:pPr>
              <w:pStyle w:val="2"/>
              <w:ind w:left="0" w:leftChars="0" w:right="0" w:rightChars="0" w:firstLine="0"/>
              <w:rPr>
                <w:kern w:val="0"/>
              </w:rPr>
            </w:pPr>
            <w:r>
              <w:rPr>
                <w:rFonts w:hint="eastAsia"/>
                <w:kern w:val="0"/>
              </w:rPr>
              <w:t>3</w:t>
            </w:r>
            <w:r>
              <w:rPr>
                <w:kern w:val="0"/>
              </w:rPr>
              <w:t>.任何单位和个人不得破坏或者擅自移动自然保护区界标。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widowControl/>
              <w:ind w:left="0" w:leftChars="0" w:right="0" w:rightChars="0"/>
              <w:textAlignment w:val="center"/>
              <w:rPr>
                <w:kern w:val="0"/>
              </w:rPr>
            </w:pPr>
            <w:r>
              <w:rPr>
                <w:rFonts w:hint="eastAsia"/>
                <w:kern w:val="0"/>
              </w:rPr>
              <w:t>6</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ZH15078410008</w:t>
            </w:r>
          </w:p>
        </w:tc>
        <w:tc>
          <w:tcPr>
            <w:tcW w:w="1135" w:type="dxa"/>
            <w:vAlign w:val="center"/>
          </w:tcPr>
          <w:p>
            <w:pPr>
              <w:widowControl/>
              <w:ind w:left="0" w:leftChars="0" w:right="0" w:rightChars="0"/>
              <w:jc w:val="center"/>
              <w:rPr>
                <w:szCs w:val="21"/>
              </w:rPr>
            </w:pPr>
            <w:r>
              <w:rPr>
                <w:rFonts w:hint="eastAsia"/>
                <w:szCs w:val="21"/>
              </w:rPr>
              <w:t>内蒙古额尔古纳国家湿地公园</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rPr>
                <w:kern w:val="0"/>
                <w:sz w:val="20"/>
                <w:szCs w:val="20"/>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ZH15078410009</w:t>
            </w:r>
          </w:p>
        </w:tc>
        <w:tc>
          <w:tcPr>
            <w:tcW w:w="1135" w:type="dxa"/>
            <w:vAlign w:val="center"/>
          </w:tcPr>
          <w:p>
            <w:pPr>
              <w:widowControl/>
              <w:ind w:left="0" w:leftChars="0" w:right="0" w:rightChars="0"/>
              <w:jc w:val="center"/>
              <w:rPr>
                <w:szCs w:val="21"/>
              </w:rPr>
            </w:pPr>
            <w:r>
              <w:rPr>
                <w:rFonts w:hint="eastAsia"/>
                <w:szCs w:val="21"/>
              </w:rPr>
              <w:t>内蒙古额尔古纳湿地自治区级自然保护区</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pStyle w:val="2"/>
              <w:ind w:left="0" w:leftChars="0" w:firstLine="0"/>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pStyle w:val="2"/>
              <w:ind w:left="0" w:leftChars="0" w:firstLine="0"/>
              <w:rPr>
                <w:kern w:val="0"/>
                <w:sz w:val="20"/>
                <w:szCs w:val="20"/>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ZH15078410010</w:t>
            </w:r>
          </w:p>
        </w:tc>
        <w:tc>
          <w:tcPr>
            <w:tcW w:w="1135" w:type="dxa"/>
            <w:vAlign w:val="center"/>
          </w:tcPr>
          <w:p>
            <w:pPr>
              <w:widowControl/>
              <w:ind w:left="0" w:leftChars="0" w:right="0" w:rightChars="0"/>
              <w:jc w:val="center"/>
              <w:rPr>
                <w:szCs w:val="21"/>
              </w:rPr>
            </w:pPr>
            <w:r>
              <w:rPr>
                <w:rFonts w:hint="eastAsia"/>
                <w:szCs w:val="21"/>
              </w:rPr>
              <w:t>内蒙古额尔古纳湿地自治区级自然保护区(额尔古纳市集中式饮用水水源地)</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pStyle w:val="2"/>
              <w:ind w:left="0" w:leftChars="0" w:right="0" w:rightChars="0" w:firstLine="0"/>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rPr>
                <w:kern w:val="0"/>
              </w:rPr>
            </w:pPr>
            <w:r>
              <w:rPr>
                <w:kern w:val="0"/>
              </w:rPr>
              <w:t>2.因教学科研的目的，需要进入自然保护区的缓冲区从事非破坏性的科学研究、教学实习和标本采集活动的，应当事先向自然保护区管理机构提交申请和活动计划，经自然保护区管理机构批准。</w:t>
            </w:r>
          </w:p>
          <w:p>
            <w:pPr>
              <w:pStyle w:val="2"/>
              <w:ind w:left="0" w:leftChars="0" w:right="0" w:rightChars="0" w:firstLine="0"/>
              <w:rPr>
                <w:kern w:val="0"/>
              </w:rPr>
            </w:pPr>
            <w:r>
              <w:rPr>
                <w:rFonts w:hint="eastAsia"/>
                <w:kern w:val="0"/>
              </w:rPr>
              <w:t>3</w:t>
            </w:r>
            <w:r>
              <w:rPr>
                <w:kern w:val="0"/>
              </w:rPr>
              <w:t>.任何单位和个人不得破坏或者擅自移动自然保护区界标。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widowControl/>
              <w:ind w:left="0" w:leftChars="0" w:right="0" w:rightChars="0"/>
              <w:textAlignment w:val="center"/>
              <w:rPr>
                <w:kern w:val="0"/>
              </w:rPr>
            </w:pPr>
            <w:r>
              <w:rPr>
                <w:rFonts w:hint="eastAsia"/>
                <w:kern w:val="0"/>
              </w:rPr>
              <w:t>6</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rPr>
                <w:kern w:val="0"/>
                <w:szCs w:val="21"/>
                <w:lang w:bidi="ar"/>
              </w:rPr>
            </w:pPr>
            <w:r>
              <w:rPr>
                <w:rFonts w:hint="eastAsia"/>
                <w:kern w:val="0"/>
                <w:szCs w:val="21"/>
                <w:lang w:bidi="ar"/>
              </w:rPr>
              <w:t>7</w:t>
            </w:r>
            <w:r>
              <w:rPr>
                <w:kern w:val="0"/>
                <w:szCs w:val="21"/>
                <w:lang w:bidi="ar"/>
              </w:rPr>
              <w:t>.在饮用水水源准保护区内，禁止下列行为：</w:t>
            </w:r>
          </w:p>
          <w:p>
            <w:pPr>
              <w:widowControl/>
              <w:ind w:left="0" w:leftChars="0" w:right="0" w:rightChars="0"/>
              <w:textAlignment w:val="center"/>
              <w:rPr>
                <w:kern w:val="0"/>
                <w:szCs w:val="21"/>
                <w:lang w:bidi="ar"/>
              </w:rPr>
            </w:pPr>
            <w:r>
              <w:rPr>
                <w:kern w:val="0"/>
                <w:szCs w:val="21"/>
                <w:lang w:bidi="ar"/>
              </w:rP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rPr>
                <w:kern w:val="0"/>
                <w:szCs w:val="21"/>
                <w:lang w:bidi="ar"/>
              </w:rPr>
            </w:pPr>
            <w:r>
              <w:rPr>
                <w:rFonts w:hint="eastAsia"/>
                <w:kern w:val="0"/>
                <w:szCs w:val="21"/>
                <w:lang w:bidi="ar"/>
              </w:rPr>
              <w:t>8</w:t>
            </w:r>
            <w:r>
              <w:rPr>
                <w:kern w:val="0"/>
                <w:szCs w:val="21"/>
                <w:lang w:bidi="ar"/>
              </w:rPr>
              <w:t>.在饮用水水源二级保护区内，除饮用水水源准保护区内禁止的行为外，还禁止下列行为：</w:t>
            </w:r>
          </w:p>
          <w:p>
            <w:pPr>
              <w:widowControl/>
              <w:ind w:left="0" w:leftChars="0" w:right="0" w:rightChars="0"/>
              <w:textAlignment w:val="center"/>
              <w:rPr>
                <w:kern w:val="0"/>
                <w:szCs w:val="21"/>
                <w:lang w:bidi="ar"/>
              </w:rPr>
            </w:pPr>
            <w:r>
              <w:rPr>
                <w:kern w:val="0"/>
                <w:szCs w:val="21"/>
                <w:lang w:bidi="ar"/>
              </w:rP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rPr>
                <w:kern w:val="0"/>
                <w:szCs w:val="21"/>
                <w:lang w:bidi="ar"/>
              </w:rPr>
            </w:pPr>
            <w:r>
              <w:rPr>
                <w:rFonts w:hint="eastAsia"/>
                <w:kern w:val="0"/>
                <w:szCs w:val="21"/>
                <w:lang w:bidi="ar"/>
              </w:rPr>
              <w:t>9</w:t>
            </w:r>
            <w:r>
              <w:rPr>
                <w:kern w:val="0"/>
                <w:szCs w:val="21"/>
                <w:lang w:bidi="ar"/>
              </w:rPr>
              <w:t>.在饮用水水源一级保护区内，除饮用水水源准保护区、二级保护区内禁止的行为外，还禁止下列行为：</w:t>
            </w:r>
          </w:p>
          <w:p>
            <w:pPr>
              <w:widowControl/>
              <w:ind w:left="0" w:leftChars="0" w:right="0" w:rightChars="0"/>
              <w:textAlignment w:val="center"/>
              <w:rPr>
                <w:kern w:val="0"/>
                <w:szCs w:val="21"/>
                <w:lang w:bidi="ar"/>
              </w:rPr>
            </w:pPr>
            <w:r>
              <w:rPr>
                <w:kern w:val="0"/>
                <w:szCs w:val="21"/>
                <w:lang w:bidi="ar"/>
              </w:rP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rPr>
                <w:kern w:val="0"/>
                <w:szCs w:val="21"/>
                <w:lang w:bidi="ar"/>
              </w:rPr>
            </w:pPr>
            <w:r>
              <w:rPr>
                <w:rFonts w:hint="eastAsia"/>
                <w:kern w:val="0"/>
                <w:szCs w:val="21"/>
                <w:lang w:bidi="ar"/>
              </w:rPr>
              <w:t>10</w:t>
            </w:r>
            <w:r>
              <w:rPr>
                <w:kern w:val="0"/>
                <w:szCs w:val="21"/>
                <w:lang w:bidi="ar"/>
              </w:rP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rPr>
                <w:rFonts w:hint="eastAsia"/>
                <w:kern w:val="0"/>
                <w:szCs w:val="21"/>
                <w:lang w:bidi="ar"/>
              </w:rPr>
              <w:t>11</w:t>
            </w:r>
            <w:r>
              <w:rPr>
                <w:kern w:val="0"/>
                <w:szCs w:val="21"/>
                <w:lang w:bidi="ar"/>
              </w:rPr>
              <w:t>. 在饮用水水源一级保护区内已建成的与供水设施和保护水源无关的建设项目，由旗县级以上人民政府责令拆除或者关闭。</w:t>
            </w:r>
          </w:p>
          <w:p>
            <w:pPr>
              <w:widowControl/>
              <w:ind w:left="0" w:leftChars="0" w:right="0" w:rightChars="0"/>
              <w:jc w:val="left"/>
              <w:textAlignment w:val="center"/>
              <w:rPr>
                <w:kern w:val="0"/>
                <w:sz w:val="20"/>
                <w:szCs w:val="20"/>
                <w:lang w:bidi="ar"/>
              </w:rPr>
            </w:pPr>
            <w:r>
              <w:rPr>
                <w:rFonts w:hint="eastAsia"/>
              </w:rPr>
              <w:t>12.在生态保护红线内的有限人为活动管理要求按照《自然资源部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4" w:type="dxa"/>
            <w:vAlign w:val="center"/>
          </w:tcPr>
          <w:p>
            <w:pPr>
              <w:widowControl/>
              <w:ind w:left="0" w:leftChars="0" w:right="0" w:rightChars="0"/>
              <w:jc w:val="center"/>
              <w:rPr>
                <w:szCs w:val="21"/>
              </w:rPr>
            </w:pPr>
            <w:r>
              <w:rPr>
                <w:rFonts w:hint="eastAsia"/>
                <w:szCs w:val="21"/>
              </w:rPr>
              <w:t>ZH15078410011</w:t>
            </w:r>
          </w:p>
        </w:tc>
        <w:tc>
          <w:tcPr>
            <w:tcW w:w="1135" w:type="dxa"/>
            <w:vAlign w:val="center"/>
          </w:tcPr>
          <w:p>
            <w:pPr>
              <w:widowControl/>
              <w:ind w:left="0" w:leftChars="0" w:right="0" w:rightChars="0"/>
              <w:jc w:val="center"/>
              <w:rPr>
                <w:szCs w:val="21"/>
              </w:rPr>
            </w:pPr>
            <w:r>
              <w:rPr>
                <w:rFonts w:hint="eastAsia"/>
                <w:szCs w:val="21"/>
              </w:rPr>
              <w:t>内蒙古莫尔道嘎国家森林公园</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rPr>
                <w:kern w:val="0"/>
                <w:sz w:val="20"/>
                <w:szCs w:val="20"/>
                <w:lang w:bidi="ar"/>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ZH15078410012</w:t>
            </w:r>
          </w:p>
        </w:tc>
        <w:tc>
          <w:tcPr>
            <w:tcW w:w="1135" w:type="dxa"/>
            <w:vAlign w:val="center"/>
          </w:tcPr>
          <w:p>
            <w:pPr>
              <w:widowControl/>
              <w:ind w:left="0" w:leftChars="0" w:right="0" w:rightChars="0"/>
              <w:jc w:val="center"/>
              <w:rPr>
                <w:szCs w:val="21"/>
              </w:rPr>
            </w:pPr>
            <w:r>
              <w:rPr>
                <w:rFonts w:hint="eastAsia"/>
                <w:szCs w:val="21"/>
              </w:rPr>
              <w:t>内蒙古室韦自治区级自然保护区</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spacing w:line="240" w:lineRule="exact"/>
              <w:ind w:left="0" w:leftChars="0" w:right="0" w:rightChars="0"/>
            </w:pPr>
            <w:r>
              <w:rPr>
                <w:rFonts w:hint="eastAsia"/>
              </w:rPr>
              <w:t>3</w:t>
            </w:r>
            <w:r>
              <w:t>.任何单位和个人不得破坏或者擅自移动自然保护区界标。</w:t>
            </w:r>
          </w:p>
          <w:p>
            <w:pPr>
              <w:widowControl/>
              <w:spacing w:line="240" w:lineRule="exact"/>
              <w:ind w:left="0" w:leftChars="0" w:right="0" w:rightChars="0"/>
            </w:pPr>
            <w:r>
              <w:rPr>
                <w:rFonts w:hint="eastAsia"/>
              </w:rPr>
              <w:t>4</w:t>
            </w:r>
            <w:r>
              <w:t>.在自然保护区的外围保护地带的建设项目，不得损害自然保护区的环境质量。已造成损害的，应当限期治理。</w:t>
            </w:r>
          </w:p>
          <w:p>
            <w:pPr>
              <w:widowControl/>
              <w:spacing w:line="240" w:lineRule="exact"/>
              <w:ind w:left="0" w:leftChars="0" w:right="0" w:rightChars="0"/>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spacing w:line="240" w:lineRule="exact"/>
              <w:ind w:left="0" w:leftChars="0" w:right="0" w:rightChars="0"/>
            </w:pPr>
            <w:r>
              <w:rPr>
                <w:rFonts w:hint="eastAsia"/>
              </w:rPr>
              <w:t>7</w:t>
            </w:r>
            <w:r>
              <w:t>.禁止开（围）垦、填埋或者排干湿地；禁止永久性截断湿地水源；禁止倾倒有毒有害物质、废弃物、垃圾；禁止破坏野生动物栖息地和迁徙通道、鱼类洄游通道，滥采滥捕野生动植物；禁止引进外来物种；禁止擅自放牧、捕捞、取土、取水、排放生活污水、排放工业废水、放生；</w:t>
            </w:r>
          </w:p>
          <w:p>
            <w:pPr>
              <w:widowControl/>
              <w:spacing w:line="240" w:lineRule="exact"/>
              <w:ind w:left="0" w:leftChars="0" w:right="0" w:rightChars="0"/>
            </w:pPr>
            <w:r>
              <w:rPr>
                <w:rFonts w:hint="eastAsia"/>
              </w:rPr>
              <w:t>8</w:t>
            </w:r>
            <w:r>
              <w:t>.禁止其他破坏湿地及其生态功能的活动。</w:t>
            </w:r>
          </w:p>
          <w:p>
            <w:pPr>
              <w:widowControl/>
              <w:spacing w:line="240" w:lineRule="exact"/>
              <w:ind w:left="0" w:leftChars="0" w:right="0" w:rightChars="0"/>
            </w:pPr>
            <w:r>
              <w:rPr>
                <w:rFonts w:hint="eastAsia"/>
              </w:rPr>
              <w:t>9</w:t>
            </w:r>
            <w:r>
              <w:t>.禁止在湿地范围内捡拾鸟卵、采用灭绝性方式捕捞鱼类及其他水生生物，禁止非法猎捕野生动物。</w:t>
            </w:r>
          </w:p>
          <w:p>
            <w:pPr>
              <w:widowControl/>
              <w:spacing w:line="240" w:lineRule="exact"/>
              <w:ind w:left="0" w:leftChars="0" w:right="0" w:rightChars="0"/>
            </w:pPr>
            <w:r>
              <w:t>1</w:t>
            </w:r>
            <w:r>
              <w:rPr>
                <w:rFonts w:hint="eastAsia"/>
              </w:rPr>
              <w:t>0</w:t>
            </w:r>
            <w:r>
              <w:t>.除抢险、救灾外，在湿地取水或者拦截湿地水源，不得影响湿地合理水位或者截断湿地水系与外围水系的联系，不得破坏鱼类等水生生物洄游通道和产卵场。</w:t>
            </w:r>
          </w:p>
          <w:p>
            <w:pPr>
              <w:widowControl/>
              <w:ind w:left="0" w:leftChars="0" w:right="0" w:rightChars="0"/>
              <w:textAlignment w:val="center"/>
            </w:pPr>
            <w:r>
              <w:t>1</w:t>
            </w:r>
            <w:r>
              <w:rPr>
                <w:rFonts w:hint="eastAsia"/>
              </w:rPr>
              <w:t>1</w:t>
            </w:r>
            <w:r>
              <w:t>.开发利用天然湿地应当按照湿地保护规划进行，不得破坏湿地生态系统的基本功能，不得破坏野生动植物栖息和生长环境。</w:t>
            </w:r>
          </w:p>
          <w:p>
            <w:pPr>
              <w:widowControl/>
              <w:spacing w:line="240" w:lineRule="exact"/>
              <w:ind w:left="0" w:leftChars="0" w:right="0" w:rightChars="0"/>
            </w:pPr>
            <w:r>
              <w:t>1</w:t>
            </w:r>
            <w:r>
              <w:rPr>
                <w:rFonts w:hint="eastAsia"/>
              </w:rPr>
              <w:t>2</w:t>
            </w:r>
            <w:r>
              <w:t>.禁止在天然湿地内擅自进行采砂、采石、采矿、挖塘、砍伐林木和开垦活动。</w:t>
            </w:r>
          </w:p>
          <w:p>
            <w:pPr>
              <w:widowControl/>
              <w:ind w:left="0" w:leftChars="0" w:right="0" w:rightChars="0"/>
              <w:textAlignment w:val="center"/>
            </w:pPr>
            <w:r>
              <w:t>1</w:t>
            </w:r>
            <w:r>
              <w:rPr>
                <w:rFonts w:hint="eastAsia"/>
              </w:rPr>
              <w:t>3</w:t>
            </w:r>
            <w:r>
              <w:t>.不得擅自占用或者改变天然湿地用途。因重要建设项目确需改变天然湿地用途的，应当按照有关法律、法规的规定办理相关审批手续。</w:t>
            </w:r>
          </w:p>
          <w:p>
            <w:pPr>
              <w:widowControl/>
              <w:ind w:left="0" w:leftChars="0" w:right="0" w:rightChars="0"/>
              <w:textAlignment w:val="center"/>
              <w:rPr>
                <w:kern w:val="0"/>
                <w:sz w:val="20"/>
                <w:szCs w:val="20"/>
                <w:lang w:bidi="ar"/>
              </w:rPr>
            </w:pPr>
            <w:r>
              <w:rPr>
                <w:rFonts w:hint="eastAsia"/>
                <w:kern w:val="0"/>
                <w:szCs w:val="21"/>
              </w:rPr>
              <w:t>14.</w:t>
            </w:r>
            <w:r>
              <w:rPr>
                <w:rFonts w:hint="eastAsia"/>
              </w:rPr>
              <w:t>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pPr>
              <w:widowControl/>
              <w:ind w:left="0" w:leftChars="0" w:right="0" w:rightChars="0"/>
              <w:jc w:val="center"/>
              <w:rPr>
                <w:szCs w:val="21"/>
              </w:rPr>
            </w:pPr>
            <w:r>
              <w:rPr>
                <w:rFonts w:hint="eastAsia"/>
                <w:szCs w:val="21"/>
              </w:rPr>
              <w:t>ZH15078410013</w:t>
            </w:r>
          </w:p>
        </w:tc>
        <w:tc>
          <w:tcPr>
            <w:tcW w:w="1135" w:type="dxa"/>
            <w:vAlign w:val="center"/>
          </w:tcPr>
          <w:p>
            <w:pPr>
              <w:widowControl/>
              <w:ind w:left="0" w:leftChars="0" w:right="0" w:rightChars="0"/>
              <w:jc w:val="center"/>
              <w:rPr>
                <w:szCs w:val="21"/>
              </w:rPr>
            </w:pPr>
            <w:r>
              <w:rPr>
                <w:rFonts w:hint="eastAsia"/>
                <w:szCs w:val="21"/>
              </w:rPr>
              <w:t>内蒙古乌玛自治区级自然保护区</w:t>
            </w:r>
          </w:p>
        </w:tc>
        <w:tc>
          <w:tcPr>
            <w:tcW w:w="909" w:type="dxa"/>
            <w:vAlign w:val="center"/>
          </w:tcPr>
          <w:p>
            <w:pPr>
              <w:widowControl/>
              <w:ind w:left="0" w:leftChars="0" w:right="0" w:rightChars="0"/>
              <w:jc w:val="center"/>
              <w:rPr>
                <w:szCs w:val="21"/>
              </w:rPr>
            </w:pPr>
            <w:r>
              <w:rPr>
                <w:szCs w:val="21"/>
              </w:rPr>
              <w:t>优先保护单元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spacing w:line="240" w:lineRule="exact"/>
              <w:ind w:left="0" w:leftChars="0" w:right="0" w:rightChars="0"/>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spacing w:line="240" w:lineRule="exact"/>
              <w:ind w:left="0" w:leftChars="0" w:right="0" w:rightChars="0"/>
            </w:pPr>
            <w:r>
              <w:rPr>
                <w:rFonts w:hint="eastAsia"/>
              </w:rPr>
              <w:t>3</w:t>
            </w:r>
            <w:r>
              <w:t>.任何单位和个人不得破坏或者擅自移动自然保护区界标。</w:t>
            </w:r>
          </w:p>
          <w:p>
            <w:pPr>
              <w:widowControl/>
              <w:spacing w:line="240" w:lineRule="exact"/>
              <w:ind w:left="0" w:leftChars="0" w:right="0" w:rightChars="0"/>
            </w:pPr>
            <w:r>
              <w:rPr>
                <w:rFonts w:hint="eastAsia"/>
              </w:rPr>
              <w:t>4</w:t>
            </w:r>
            <w:r>
              <w:t>.在自然保护区的外围保护地带的建设项目，不得损害自然保护区的环境质量。已造成损害的，应当限期治理。</w:t>
            </w:r>
          </w:p>
          <w:p>
            <w:pPr>
              <w:widowControl/>
              <w:spacing w:line="240" w:lineRule="exact"/>
              <w:ind w:left="0" w:leftChars="0" w:right="0" w:rightChars="0"/>
            </w:pPr>
            <w:r>
              <w:rPr>
                <w:rFonts w:hint="eastAsia"/>
              </w:rPr>
              <w:t>5</w:t>
            </w:r>
            <w:r>
              <w:t>.禁止向自然保护区内倾倒固体废弃物和排放污染废水。</w:t>
            </w:r>
          </w:p>
          <w:p>
            <w:pPr>
              <w:widowControl/>
              <w:spacing w:line="240" w:lineRule="exact"/>
              <w:ind w:left="0" w:leftChars="0" w:right="0" w:rightChars="0"/>
            </w:pPr>
            <w:r>
              <w:rPr>
                <w:rFonts w:hint="eastAsia"/>
              </w:rPr>
              <w:t>6</w:t>
            </w:r>
            <w: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spacing w:line="240" w:lineRule="exact"/>
              <w:ind w:left="0" w:leftChars="0" w:right="0" w:rightChars="0"/>
            </w:pPr>
            <w:r>
              <w:rPr>
                <w:rFonts w:hint="eastAsia"/>
              </w:rPr>
              <w:t>7</w:t>
            </w:r>
            <w:r>
              <w:t>.禁止开（围）垦、填埋或者排干湿地；禁止永久性截断湿地水源；禁止倾倒有毒有害物质、废弃物、垃圾；禁止破坏野生动物栖息地和迁徙通道、鱼类洄游通道，滥采滥捕野生动植物；禁止引进外来物种；禁止擅自放牧、捕捞、取土、取水、排放生活污水、排放工业废水、放生；</w:t>
            </w:r>
          </w:p>
          <w:p>
            <w:pPr>
              <w:widowControl/>
              <w:spacing w:line="240" w:lineRule="exact"/>
              <w:ind w:left="0" w:leftChars="0" w:right="0" w:rightChars="0"/>
            </w:pPr>
            <w:r>
              <w:rPr>
                <w:rFonts w:hint="eastAsia"/>
              </w:rPr>
              <w:t>8</w:t>
            </w:r>
            <w:r>
              <w:t>.禁止其他破坏湿地及其生态功能的活动。</w:t>
            </w:r>
          </w:p>
          <w:p>
            <w:pPr>
              <w:widowControl/>
              <w:spacing w:line="240" w:lineRule="exact"/>
              <w:ind w:left="0" w:leftChars="0" w:right="0" w:rightChars="0"/>
            </w:pPr>
            <w:r>
              <w:rPr>
                <w:rFonts w:hint="eastAsia"/>
              </w:rPr>
              <w:t>9</w:t>
            </w:r>
            <w:r>
              <w:t>.禁止在湿地范围内捡拾鸟卵、采用灭绝性方式捕捞鱼类及其他水生生物，禁止非法猎捕野生动物。</w:t>
            </w:r>
          </w:p>
          <w:p>
            <w:pPr>
              <w:widowControl/>
              <w:spacing w:line="240" w:lineRule="exact"/>
              <w:ind w:left="0" w:leftChars="0" w:right="0" w:rightChars="0"/>
            </w:pPr>
            <w:r>
              <w:t>1</w:t>
            </w:r>
            <w:r>
              <w:rPr>
                <w:rFonts w:hint="eastAsia"/>
              </w:rPr>
              <w:t>0</w:t>
            </w:r>
            <w:r>
              <w:t>.除抢险、救灾外，在湿地取水或者拦截湿地水源，不得影响湿地合理水位或者截断湿地水系与外围水系的联系，不得破坏鱼类等水生生物洄游通道和产卵场。</w:t>
            </w:r>
          </w:p>
          <w:p>
            <w:pPr>
              <w:widowControl/>
              <w:spacing w:line="240" w:lineRule="exact"/>
              <w:ind w:left="0" w:leftChars="0" w:right="0" w:rightChars="0"/>
            </w:pPr>
            <w:r>
              <w:t>1</w:t>
            </w:r>
            <w:r>
              <w:rPr>
                <w:rFonts w:hint="eastAsia"/>
              </w:rPr>
              <w:t>1</w:t>
            </w:r>
            <w:r>
              <w:t>.开发利用天然湿地应当按照湿地保护规划进行，不得破坏湿地生态系统的基本功能，不得破坏野生动植物栖息和生长环境。</w:t>
            </w:r>
          </w:p>
          <w:p>
            <w:pPr>
              <w:widowControl/>
              <w:spacing w:line="240" w:lineRule="exact"/>
              <w:ind w:left="0" w:leftChars="0" w:right="0" w:rightChars="0"/>
            </w:pPr>
            <w:r>
              <w:t>1</w:t>
            </w:r>
            <w:r>
              <w:rPr>
                <w:rFonts w:hint="eastAsia"/>
              </w:rPr>
              <w:t>2</w:t>
            </w:r>
            <w:r>
              <w:t>.禁止在天然湿地内擅自进行采砂、采石、采矿、挖塘、砍伐林木和开垦活动。</w:t>
            </w:r>
          </w:p>
          <w:p>
            <w:pPr>
              <w:widowControl/>
              <w:ind w:left="0" w:leftChars="0" w:right="0" w:rightChars="0"/>
              <w:textAlignment w:val="center"/>
            </w:pPr>
            <w:r>
              <w:t>1</w:t>
            </w:r>
            <w:r>
              <w:rPr>
                <w:rFonts w:hint="eastAsia"/>
              </w:rPr>
              <w:t>3</w:t>
            </w:r>
            <w:r>
              <w:t>.不得擅自占用或者改变天然湿地用途。因重要建设项目确需改变天然湿地用途的，应当按照有关法律、法规的规定办理相关审批手续。</w:t>
            </w:r>
          </w:p>
          <w:p>
            <w:pPr>
              <w:widowControl/>
              <w:ind w:left="0" w:leftChars="0" w:right="0" w:rightChars="0"/>
              <w:textAlignment w:val="center"/>
            </w:pPr>
            <w:r>
              <w:rPr>
                <w:rFonts w:hint="eastAsia"/>
              </w:rPr>
              <w:t>14.在生态保护红线内的有限人为活动管理要求按照《自然资源部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restart"/>
            <w:vAlign w:val="center"/>
          </w:tcPr>
          <w:p>
            <w:pPr>
              <w:widowControl/>
              <w:ind w:left="0" w:leftChars="0" w:right="0" w:rightChars="0"/>
              <w:jc w:val="center"/>
              <w:rPr>
                <w:szCs w:val="21"/>
              </w:rPr>
            </w:pPr>
            <w:r>
              <w:rPr>
                <w:kern w:val="0"/>
                <w:szCs w:val="21"/>
                <w:lang w:bidi="ar"/>
              </w:rPr>
              <w:t>ZH15078420001</w:t>
            </w:r>
          </w:p>
        </w:tc>
        <w:tc>
          <w:tcPr>
            <w:tcW w:w="1135" w:type="dxa"/>
            <w:vMerge w:val="restart"/>
            <w:vAlign w:val="center"/>
          </w:tcPr>
          <w:p>
            <w:pPr>
              <w:widowControl/>
              <w:ind w:left="0" w:leftChars="0" w:right="0" w:rightChars="0"/>
              <w:jc w:val="center"/>
              <w:rPr>
                <w:szCs w:val="21"/>
              </w:rPr>
            </w:pPr>
            <w:r>
              <w:rPr>
                <w:kern w:val="0"/>
                <w:szCs w:val="21"/>
                <w:lang w:bidi="ar"/>
              </w:rPr>
              <w:t>额尔古纳市城镇空间</w:t>
            </w:r>
          </w:p>
        </w:tc>
        <w:tc>
          <w:tcPr>
            <w:tcW w:w="909" w:type="dxa"/>
            <w:vMerge w:val="restart"/>
            <w:vAlign w:val="center"/>
          </w:tcPr>
          <w:p>
            <w:pPr>
              <w:widowControl/>
              <w:ind w:left="0" w:leftChars="0" w:right="0" w:rightChars="0"/>
              <w:jc w:val="center"/>
              <w:rPr>
                <w:szCs w:val="21"/>
              </w:rPr>
            </w:pPr>
            <w:r>
              <w:rPr>
                <w:szCs w:val="21"/>
              </w:rPr>
              <w:t>重点管控单元</w:t>
            </w: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1.扩大城镇集中供热覆盖范围，加大燃煤小锅炉淘汰力度，鼓励采取太阳能、风能多能互补清洁取暖，旗市区城市建成区原则上不再新建35t/h</w:t>
            </w:r>
            <w:r>
              <w:rPr>
                <w:rFonts w:hint="eastAsia"/>
              </w:rPr>
              <w:t>及</w:t>
            </w:r>
            <w:r>
              <w:t>以下燃煤锅炉。</w:t>
            </w:r>
          </w:p>
          <w:p>
            <w:pPr>
              <w:widowControl/>
              <w:spacing w:line="240" w:lineRule="exact"/>
              <w:ind w:left="0" w:leftChars="0" w:right="0" w:rightChars="0"/>
            </w:pPr>
            <w: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757" w:type="dxa"/>
            <w:vAlign w:val="center"/>
          </w:tcPr>
          <w:p>
            <w:pPr>
              <w:widowControl/>
              <w:spacing w:line="240" w:lineRule="exact"/>
              <w:ind w:left="0" w:leftChars="0" w:right="0" w:rightChars="0"/>
            </w:pPr>
            <w:r>
              <w:t>1.提升城镇生活污水收集管网覆盖率，逐步实施雨污管网分流改造、管网更新、破损修复、中水回用等工程。</w:t>
            </w:r>
          </w:p>
          <w:p>
            <w:pPr>
              <w:widowControl/>
              <w:spacing w:line="240" w:lineRule="exact"/>
              <w:ind w:left="0" w:leftChars="0" w:right="0" w:rightChars="0"/>
            </w:pPr>
            <w: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757" w:type="dxa"/>
            <w:vAlign w:val="center"/>
          </w:tcPr>
          <w:p>
            <w:pPr>
              <w:widowControl/>
              <w:spacing w:line="240" w:lineRule="exact"/>
              <w:ind w:left="0" w:leftChars="0" w:right="0" w:rightChars="0"/>
            </w:pPr>
            <w:r>
              <w:rPr>
                <w:rFonts w:hint="eastAsia"/>
              </w:rPr>
              <w:t>1.</w:t>
            </w:r>
            <w:r>
              <w:t>高污染燃料禁燃区内任何单位不得新建、扩建高污染燃料燃用设施，不得将其他燃料燃用设施改造为高污染燃料燃用设施。高污染燃料销售单位应按照要求逐步取消禁燃区内的销售网点。对于现有的高污染燃料燃用设施,有关单位和个人应当按照规定予以拆除或者改用电、液化石油气等清洁能源。</w:t>
            </w:r>
          </w:p>
          <w:p>
            <w:pPr>
              <w:widowControl/>
              <w:spacing w:line="240" w:lineRule="exact"/>
              <w:ind w:left="0" w:leftChars="0" w:right="0" w:rightChars="0"/>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restart"/>
            <w:vAlign w:val="center"/>
          </w:tcPr>
          <w:p>
            <w:pPr>
              <w:widowControl/>
              <w:ind w:left="0" w:leftChars="0" w:right="0" w:rightChars="0"/>
              <w:jc w:val="center"/>
              <w:rPr>
                <w:szCs w:val="21"/>
              </w:rPr>
            </w:pPr>
            <w:r>
              <w:rPr>
                <w:rFonts w:hint="eastAsia"/>
                <w:szCs w:val="21"/>
              </w:rPr>
              <w:t>ZH15078420003</w:t>
            </w:r>
          </w:p>
        </w:tc>
        <w:tc>
          <w:tcPr>
            <w:tcW w:w="1135" w:type="dxa"/>
            <w:vMerge w:val="restart"/>
            <w:vAlign w:val="center"/>
          </w:tcPr>
          <w:p>
            <w:pPr>
              <w:widowControl/>
              <w:ind w:left="0" w:leftChars="0" w:right="0" w:rightChars="0"/>
              <w:jc w:val="center"/>
              <w:rPr>
                <w:szCs w:val="21"/>
              </w:rPr>
            </w:pPr>
            <w:r>
              <w:rPr>
                <w:rFonts w:hint="eastAsia"/>
                <w:szCs w:val="21"/>
              </w:rPr>
              <w:t>额尔古纳市大西山煤田矿区</w:t>
            </w:r>
          </w:p>
        </w:tc>
        <w:tc>
          <w:tcPr>
            <w:tcW w:w="909" w:type="dxa"/>
            <w:vMerge w:val="restart"/>
            <w:vAlign w:val="center"/>
          </w:tcPr>
          <w:p>
            <w:pPr>
              <w:widowControl/>
              <w:ind w:left="0" w:leftChars="0" w:right="0" w:rightChars="0"/>
              <w:jc w:val="center"/>
              <w:rPr>
                <w:szCs w:val="21"/>
              </w:rPr>
            </w:pPr>
            <w:r>
              <w:rPr>
                <w:szCs w:val="21"/>
              </w:rPr>
              <w:t>重点管控单元</w:t>
            </w:r>
          </w:p>
        </w:tc>
        <w:tc>
          <w:tcPr>
            <w:tcW w:w="675" w:type="dxa"/>
            <w:vAlign w:val="center"/>
          </w:tcPr>
          <w:p>
            <w:pPr>
              <w:widowControl/>
              <w:ind w:left="0" w:leftChars="0" w:right="0" w:rightChars="0"/>
              <w:jc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1.非经国务院授权的有关主管部门同意，不得在《中华人民共和国矿产资源法（修正）》中所列的6种地区开采矿产资源。</w:t>
            </w:r>
          </w:p>
          <w:p>
            <w:pPr>
              <w:widowControl/>
              <w:spacing w:line="240" w:lineRule="exact"/>
              <w:ind w:left="0" w:leftChars="0" w:right="0" w:rightChars="0"/>
            </w:pPr>
            <w:r>
              <w:t>2.禁止新建、扩建《产业结构调整指导目录（2019年本）》明确的淘汰类项目；严格执行《自治区国家重点生态功能区产业准入负面清单（试行）》（内政发〔2018〕11号）中采矿业管控要求。</w:t>
            </w:r>
          </w:p>
          <w:p>
            <w:pPr>
              <w:pStyle w:val="2"/>
              <w:spacing w:line="240" w:lineRule="exact"/>
              <w:ind w:left="0" w:leftChars="0" w:right="0" w:rightChars="0" w:firstLine="0"/>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spacing w:line="240" w:lineRule="exact"/>
              <w:ind w:left="0" w:leftChars="0" w:right="0" w:rightChars="0" w:firstLine="0"/>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spacing w:line="240" w:lineRule="exact"/>
              <w:ind w:left="0" w:leftChars="0" w:right="0" w:rightChars="0" w:firstLine="0"/>
            </w:pPr>
            <w:r>
              <w:rPr>
                <w:rFonts w:hint="eastAsia"/>
              </w:rPr>
              <w:t>5.合理开发利用和保护煤炭资源，规范煤炭生产、经营、清洁高效利用及相关活动，保障煤炭产业高质量发展。推进矿山环境综合治理，严格执行绿色矿山准入标准。</w:t>
            </w:r>
          </w:p>
          <w:p>
            <w:pPr>
              <w:pStyle w:val="2"/>
              <w:spacing w:line="240" w:lineRule="exact"/>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污染物排放管控</w:t>
            </w:r>
          </w:p>
        </w:tc>
        <w:tc>
          <w:tcPr>
            <w:tcW w:w="5757" w:type="dxa"/>
            <w:vAlign w:val="center"/>
          </w:tcPr>
          <w:p>
            <w:pPr>
              <w:widowControl/>
              <w:spacing w:line="240" w:lineRule="exact"/>
              <w:ind w:left="0" w:leftChars="0" w:right="0" w:rightChars="0"/>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spacing w:line="240" w:lineRule="exact"/>
              <w:ind w:left="0" w:leftChars="0" w:right="0" w:rightChars="0"/>
            </w:pPr>
            <w:r>
              <w:t>2.生产矿山年度占用土地面积与年度治理面积基本达到平衡，“三废”排放符合环保指标要求。</w:t>
            </w:r>
          </w:p>
          <w:p>
            <w:pPr>
              <w:widowControl/>
              <w:spacing w:line="240" w:lineRule="exact"/>
              <w:ind w:left="0" w:leftChars="0" w:right="0" w:rightChars="0"/>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szCs w:val="21"/>
              </w:rPr>
              <w:t>环境风险防控</w:t>
            </w:r>
          </w:p>
        </w:tc>
        <w:tc>
          <w:tcPr>
            <w:tcW w:w="5757"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textAlignment w:val="center"/>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57" w:type="dxa"/>
            <w:vAlign w:val="center"/>
          </w:tcPr>
          <w:p>
            <w:pPr>
              <w:widowControl/>
              <w:spacing w:line="240" w:lineRule="exact"/>
              <w:ind w:left="0" w:leftChars="0" w:right="0" w:rightChars="0"/>
            </w:pPr>
            <w:r>
              <w:t>1</w:t>
            </w:r>
            <w:r>
              <w:rPr>
                <w:rFonts w:hint="eastAsia"/>
              </w:rPr>
              <w:t>.</w:t>
            </w:r>
            <w:r>
              <w:t>原煤入选率不低于75%；煤矸石综合利用率应达到75%以上；矿井水、疏干水应采用洁净化、资源化技术和工艺进行合理处置，处置率达到100%。</w:t>
            </w:r>
          </w:p>
          <w:p>
            <w:pPr>
              <w:widowControl/>
              <w:spacing w:line="240" w:lineRule="exact"/>
              <w:ind w:left="0" w:leftChars="0" w:right="0" w:rightChars="0"/>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spacing w:line="240" w:lineRule="exact"/>
              <w:ind w:left="0" w:leftChars="0" w:right="0" w:rightChars="0"/>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restart"/>
            <w:vAlign w:val="center"/>
          </w:tcPr>
          <w:p>
            <w:pPr>
              <w:widowControl/>
              <w:ind w:left="0" w:leftChars="0" w:right="0" w:rightChars="0"/>
              <w:jc w:val="center"/>
              <w:rPr>
                <w:szCs w:val="21"/>
              </w:rPr>
            </w:pPr>
            <w:r>
              <w:rPr>
                <w:rFonts w:hint="eastAsia"/>
                <w:szCs w:val="21"/>
              </w:rPr>
              <w:t>ZH15078420004</w:t>
            </w:r>
          </w:p>
        </w:tc>
        <w:tc>
          <w:tcPr>
            <w:tcW w:w="1135" w:type="dxa"/>
            <w:vMerge w:val="restart"/>
            <w:vAlign w:val="center"/>
          </w:tcPr>
          <w:p>
            <w:pPr>
              <w:widowControl/>
              <w:ind w:left="0" w:leftChars="0" w:right="0" w:rightChars="0"/>
              <w:jc w:val="center"/>
              <w:rPr>
                <w:szCs w:val="21"/>
              </w:rPr>
            </w:pPr>
            <w:r>
              <w:rPr>
                <w:rFonts w:hint="eastAsia"/>
                <w:szCs w:val="21"/>
              </w:rPr>
              <w:t>额尔古纳市非金属矿</w:t>
            </w:r>
          </w:p>
        </w:tc>
        <w:tc>
          <w:tcPr>
            <w:tcW w:w="909" w:type="dxa"/>
            <w:vMerge w:val="restart"/>
            <w:vAlign w:val="center"/>
          </w:tcPr>
          <w:p>
            <w:pPr>
              <w:widowControl/>
              <w:ind w:left="0" w:leftChars="0" w:right="0" w:rightChars="0"/>
              <w:jc w:val="center"/>
              <w:rPr>
                <w:szCs w:val="21"/>
              </w:rPr>
            </w:pPr>
            <w:r>
              <w:rPr>
                <w:szCs w:val="21"/>
              </w:rPr>
              <w:t>重点管控单元</w:t>
            </w:r>
          </w:p>
        </w:tc>
        <w:tc>
          <w:tcPr>
            <w:tcW w:w="675" w:type="dxa"/>
            <w:vAlign w:val="center"/>
          </w:tcPr>
          <w:p>
            <w:pPr>
              <w:widowControl/>
              <w:ind w:left="0" w:leftChars="0" w:right="0" w:rightChars="0"/>
              <w:jc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1.非经国务院授权的有关主管部门同意，不得在《中华人民共和国矿产资源法（修正）》中所列的6种地区开采矿产资源。</w:t>
            </w:r>
          </w:p>
          <w:p>
            <w:pPr>
              <w:widowControl/>
              <w:spacing w:line="240" w:lineRule="exact"/>
              <w:ind w:left="0" w:leftChars="0" w:right="0" w:rightChars="0"/>
            </w:pPr>
            <w:r>
              <w:t>2.禁止新建、扩建《产业结构调整指导目录（2019年本）》明确的淘汰类项目；严格执行《自治区国家重点生态功能区产业准入负面清单（试行）》（内政发〔2018〕11号）中采矿业管控要求。</w:t>
            </w:r>
          </w:p>
          <w:p>
            <w:pPr>
              <w:pStyle w:val="2"/>
              <w:spacing w:line="240" w:lineRule="exact"/>
              <w:ind w:left="0" w:leftChars="0" w:right="0" w:rightChars="0" w:firstLine="0"/>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spacing w:line="240" w:lineRule="exact"/>
              <w:ind w:left="0" w:leftChars="0" w:right="0" w:rightChars="0" w:firstLine="0"/>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spacing w:line="240" w:lineRule="exact"/>
              <w:ind w:left="0" w:leftChars="0" w:right="0" w:rightChars="0" w:firstLine="0"/>
            </w:pPr>
            <w:r>
              <w:rPr>
                <w:rFonts w:hint="eastAsia"/>
              </w:rPr>
              <w:t>5.推进矿山环境综合治理，严格执行绿色矿山准入标准。</w:t>
            </w:r>
          </w:p>
          <w:p>
            <w:pPr>
              <w:pStyle w:val="2"/>
              <w:spacing w:line="240" w:lineRule="exact"/>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污染物排放管控</w:t>
            </w:r>
          </w:p>
        </w:tc>
        <w:tc>
          <w:tcPr>
            <w:tcW w:w="5757" w:type="dxa"/>
            <w:vAlign w:val="center"/>
          </w:tcPr>
          <w:p>
            <w:pPr>
              <w:widowControl/>
              <w:spacing w:line="240" w:lineRule="exact"/>
              <w:ind w:left="0" w:leftChars="0" w:right="0" w:rightChars="0"/>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spacing w:line="240" w:lineRule="exact"/>
              <w:ind w:left="0" w:leftChars="0" w:right="0" w:rightChars="0"/>
            </w:pPr>
            <w:r>
              <w:t>2.生产矿山年度占用土地面积与年度治理面积基本达到平衡，“三废”排放符合环保指标要求。</w:t>
            </w:r>
          </w:p>
          <w:p>
            <w:pPr>
              <w:widowControl/>
              <w:spacing w:line="240" w:lineRule="exact"/>
              <w:ind w:left="0" w:leftChars="0" w:right="0" w:rightChars="0"/>
            </w:pPr>
            <w:r>
              <w:rPr>
                <w:rFonts w:hint="eastAsia"/>
              </w:rPr>
              <w:t>3.矿山开采企业应当加强精细化管理，采取有效措施防治矿山开采、贮存、装卸、运输全过程的扬尘污染，确保扬尘达标排放。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szCs w:val="21"/>
              </w:rPr>
              <w:t>环境风险防控</w:t>
            </w:r>
          </w:p>
        </w:tc>
        <w:tc>
          <w:tcPr>
            <w:tcW w:w="5757" w:type="dxa"/>
            <w:vAlign w:val="center"/>
          </w:tcPr>
          <w:p>
            <w:pPr>
              <w:widowControl/>
              <w:spacing w:line="240" w:lineRule="exact"/>
              <w:ind w:left="0" w:leftChars="0" w:right="0" w:rightChars="0"/>
            </w:pPr>
            <w:r>
              <w:t>1.制定环境风险应急预案，成立应急组织机构，配备必要的应急设施和应急物资，定期开展环境风险应急演练。</w:t>
            </w:r>
          </w:p>
          <w:p>
            <w:pPr>
              <w:widowControl/>
              <w:spacing w:line="240" w:lineRule="exact"/>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57" w:type="dxa"/>
            <w:vAlign w:val="center"/>
          </w:tcPr>
          <w:p>
            <w:pPr>
              <w:widowControl/>
              <w:spacing w:line="240" w:lineRule="exact"/>
              <w:ind w:left="0" w:leftChars="0" w:right="0" w:rightChars="0"/>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restart"/>
            <w:vAlign w:val="center"/>
          </w:tcPr>
          <w:p>
            <w:pPr>
              <w:pStyle w:val="2"/>
              <w:ind w:left="0" w:leftChars="0" w:firstLine="0"/>
              <w:jc w:val="center"/>
            </w:pPr>
            <w:r>
              <w:rPr>
                <w:rFonts w:hint="eastAsia"/>
              </w:rPr>
              <w:t>ZH15078420005</w:t>
            </w:r>
          </w:p>
        </w:tc>
        <w:tc>
          <w:tcPr>
            <w:tcW w:w="1135" w:type="dxa"/>
            <w:vMerge w:val="restart"/>
            <w:vAlign w:val="center"/>
          </w:tcPr>
          <w:p>
            <w:pPr>
              <w:widowControl/>
              <w:ind w:left="0" w:leftChars="0" w:right="0" w:rightChars="0"/>
              <w:jc w:val="center"/>
              <w:rPr>
                <w:szCs w:val="21"/>
              </w:rPr>
            </w:pPr>
            <w:r>
              <w:rPr>
                <w:szCs w:val="21"/>
              </w:rPr>
              <w:t>额尔古纳市金属矿</w:t>
            </w:r>
          </w:p>
        </w:tc>
        <w:tc>
          <w:tcPr>
            <w:tcW w:w="909" w:type="dxa"/>
            <w:vMerge w:val="restart"/>
            <w:vAlign w:val="center"/>
          </w:tcPr>
          <w:p>
            <w:pPr>
              <w:widowControl/>
              <w:ind w:left="0" w:leftChars="0" w:right="0" w:rightChars="0"/>
              <w:jc w:val="center"/>
              <w:rPr>
                <w:szCs w:val="21"/>
              </w:rPr>
            </w:pPr>
            <w:r>
              <w:rPr>
                <w:szCs w:val="21"/>
              </w:rPr>
              <w:t>重点管控单元</w:t>
            </w:r>
          </w:p>
        </w:tc>
        <w:tc>
          <w:tcPr>
            <w:tcW w:w="675" w:type="dxa"/>
            <w:vAlign w:val="center"/>
          </w:tcPr>
          <w:p>
            <w:pPr>
              <w:widowControl/>
              <w:ind w:left="0" w:leftChars="0" w:right="0" w:rightChars="0"/>
              <w:jc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widowControl/>
              <w:ind w:left="0" w:leftChars="0" w:right="0" w:rightChars="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widowControl/>
              <w:ind w:left="0" w:leftChars="0" w:right="0" w:rightChars="0"/>
              <w:textAlignment w:val="center"/>
            </w:pPr>
            <w:r>
              <w:rPr>
                <w:rFonts w:hint="eastAsia"/>
              </w:rPr>
              <w:t>5.推进矿山环境综合治理，严格执行绿色矿山准入标准。</w:t>
            </w:r>
          </w:p>
          <w:p>
            <w:pPr>
              <w:pStyle w:val="2"/>
              <w:spacing w:line="240" w:lineRule="exact"/>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污染物排放管控</w:t>
            </w:r>
          </w:p>
        </w:tc>
        <w:tc>
          <w:tcPr>
            <w:tcW w:w="5757" w:type="dxa"/>
            <w:vAlign w:val="center"/>
          </w:tcPr>
          <w:p>
            <w:pPr>
              <w:widowControl/>
              <w:spacing w:line="240" w:lineRule="exact"/>
              <w:ind w:left="0" w:leftChars="0" w:right="0" w:rightChars="0"/>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spacing w:line="240" w:lineRule="exact"/>
              <w:ind w:left="0" w:leftChars="0" w:right="0" w:rightChars="0"/>
            </w:pPr>
            <w:r>
              <w:t>2.生产矿山年度占用土地面积与年度治理面积基本达到平衡，“三废”排放符合环保指标要求。</w:t>
            </w:r>
          </w:p>
          <w:p>
            <w:pPr>
              <w:widowControl/>
              <w:spacing w:line="240" w:lineRule="exact"/>
              <w:ind w:left="0" w:leftChars="0" w:right="0" w:rightChars="0"/>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szCs w:val="21"/>
              </w:rPr>
              <w:t>环境风险防控</w:t>
            </w:r>
          </w:p>
        </w:tc>
        <w:tc>
          <w:tcPr>
            <w:tcW w:w="5757" w:type="dxa"/>
            <w:vAlign w:val="center"/>
          </w:tcPr>
          <w:p>
            <w:pPr>
              <w:widowControl/>
              <w:spacing w:line="240" w:lineRule="exact"/>
              <w:ind w:left="0" w:leftChars="0" w:right="0" w:rightChars="0"/>
            </w:pPr>
            <w:r>
              <w:t>1.制定环境风险应急预案，成立应急组织机构，配备必要的应急设施和应急物资，定期开展环境风险应急演练。</w:t>
            </w:r>
          </w:p>
          <w:p>
            <w:pPr>
              <w:widowControl/>
              <w:spacing w:line="240" w:lineRule="exact"/>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57" w:type="dxa"/>
            <w:vAlign w:val="center"/>
          </w:tcPr>
          <w:p>
            <w:pPr>
              <w:widowControl/>
              <w:spacing w:line="240" w:lineRule="exact"/>
              <w:ind w:left="0" w:leftChars="0" w:right="0" w:rightChars="0"/>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restart"/>
            <w:vAlign w:val="center"/>
          </w:tcPr>
          <w:p>
            <w:pPr>
              <w:widowControl/>
              <w:ind w:left="0" w:leftChars="0" w:right="0" w:rightChars="0"/>
              <w:jc w:val="center"/>
              <w:textAlignment w:val="bottom"/>
              <w:rPr>
                <w:szCs w:val="21"/>
              </w:rPr>
            </w:pPr>
            <w:r>
              <w:rPr>
                <w:rFonts w:hint="eastAsia"/>
                <w:szCs w:val="21"/>
              </w:rPr>
              <w:t>ZH1507842000</w:t>
            </w:r>
            <w:r>
              <w:rPr>
                <w:szCs w:val="21"/>
              </w:rPr>
              <w:t>2</w:t>
            </w:r>
          </w:p>
        </w:tc>
        <w:tc>
          <w:tcPr>
            <w:tcW w:w="1135" w:type="dxa"/>
            <w:vMerge w:val="restart"/>
            <w:vAlign w:val="center"/>
          </w:tcPr>
          <w:p>
            <w:pPr>
              <w:widowControl/>
              <w:ind w:left="0" w:leftChars="0" w:right="0" w:rightChars="0"/>
              <w:jc w:val="center"/>
              <w:textAlignment w:val="bottom"/>
              <w:rPr>
                <w:szCs w:val="21"/>
              </w:rPr>
            </w:pPr>
            <w:r>
              <w:rPr>
                <w:rFonts w:hint="eastAsia"/>
                <w:szCs w:val="21"/>
              </w:rPr>
              <w:t>额尔古纳市煤矿</w:t>
            </w:r>
          </w:p>
        </w:tc>
        <w:tc>
          <w:tcPr>
            <w:tcW w:w="909" w:type="dxa"/>
            <w:vMerge w:val="restart"/>
            <w:vAlign w:val="center"/>
          </w:tcPr>
          <w:p>
            <w:pPr>
              <w:widowControl/>
              <w:ind w:left="0" w:leftChars="0" w:right="0" w:rightChars="0"/>
              <w:jc w:val="center"/>
              <w:rPr>
                <w:szCs w:val="21"/>
              </w:rPr>
            </w:pPr>
            <w:r>
              <w:rPr>
                <w:szCs w:val="21"/>
              </w:rPr>
              <w:t>重点管控单元</w:t>
            </w:r>
          </w:p>
        </w:tc>
        <w:tc>
          <w:tcPr>
            <w:tcW w:w="675" w:type="dxa"/>
            <w:vAlign w:val="center"/>
          </w:tcPr>
          <w:p>
            <w:pPr>
              <w:widowControl/>
              <w:ind w:left="0" w:leftChars="0" w:right="0" w:rightChars="0"/>
              <w:jc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1.非经国务院授权的有关主管部门同意，不得在《中华人民共和国矿产资源法（修正）》中所列的6种地区开采矿产资源。</w:t>
            </w:r>
          </w:p>
          <w:p>
            <w:pPr>
              <w:widowControl/>
              <w:spacing w:line="240" w:lineRule="exact"/>
              <w:ind w:left="0" w:leftChars="0" w:right="0" w:rightChars="0"/>
            </w:pPr>
            <w:r>
              <w:t>2.禁止新建、扩建《产业结构调整指导目录（2019年本）》明确的淘汰类项目；严格执行《自治区国家重点生态功能区产业准入负面清单（试行）》（内政发〔2018〕11号）中采矿业管控要求。</w:t>
            </w:r>
          </w:p>
          <w:p>
            <w:pPr>
              <w:pStyle w:val="2"/>
              <w:spacing w:line="240" w:lineRule="exact"/>
              <w:ind w:left="0" w:leftChars="0" w:right="0" w:rightChars="0" w:firstLine="0"/>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spacing w:line="240" w:lineRule="exact"/>
              <w:ind w:left="0" w:leftChars="0" w:right="0" w:rightChars="0" w:firstLine="0"/>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spacing w:line="240" w:lineRule="exact"/>
              <w:ind w:left="0" w:leftChars="0" w:right="0" w:rightChars="0" w:firstLine="0"/>
            </w:pPr>
            <w:r>
              <w:rPr>
                <w:rFonts w:hint="eastAsia"/>
              </w:rPr>
              <w:t>5.合理开发利用和保护煤炭资源，规范煤炭生产、经营、清洁高效利用及相关活动，保障煤炭产业高质量发展。推进矿山环境综合治理，严格执行绿色矿山准入标准。</w:t>
            </w:r>
          </w:p>
          <w:p>
            <w:pPr>
              <w:pStyle w:val="2"/>
              <w:spacing w:line="240" w:lineRule="exact"/>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污染物排放管控</w:t>
            </w:r>
          </w:p>
        </w:tc>
        <w:tc>
          <w:tcPr>
            <w:tcW w:w="5757" w:type="dxa"/>
            <w:vAlign w:val="center"/>
          </w:tcPr>
          <w:p>
            <w:pPr>
              <w:widowControl/>
              <w:spacing w:line="240" w:lineRule="exact"/>
              <w:ind w:left="0" w:leftChars="0" w:right="0" w:rightChars="0"/>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spacing w:line="240" w:lineRule="exact"/>
              <w:ind w:left="0" w:leftChars="0" w:right="0" w:rightChars="0"/>
            </w:pPr>
            <w:r>
              <w:t>2.生产矿山年度占用土地面积与年度治理面积基本达到平衡，“三废”排放符合环保指标要求。</w:t>
            </w:r>
          </w:p>
          <w:p>
            <w:pPr>
              <w:widowControl/>
              <w:spacing w:line="240" w:lineRule="exact"/>
              <w:ind w:left="0" w:leftChars="0" w:right="0" w:rightChars="0"/>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szCs w:val="21"/>
              </w:rPr>
              <w:t>环境风险防控</w:t>
            </w:r>
          </w:p>
        </w:tc>
        <w:tc>
          <w:tcPr>
            <w:tcW w:w="5757" w:type="dxa"/>
            <w:vAlign w:val="center"/>
          </w:tcPr>
          <w:p>
            <w:pPr>
              <w:widowControl/>
              <w:spacing w:line="240" w:lineRule="exact"/>
              <w:ind w:left="0" w:leftChars="0" w:right="0" w:rightChars="0"/>
            </w:pPr>
            <w:r>
              <w:t>1.制定环境风险应急预案，成立应急组织机构，配备必要的应急设施和应急物资，定期开展环境风险应急演练。</w:t>
            </w:r>
          </w:p>
          <w:p>
            <w:pPr>
              <w:widowControl/>
              <w:spacing w:line="240" w:lineRule="exact"/>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pStyle w:val="2"/>
              <w:spacing w:line="240" w:lineRule="exact"/>
              <w:ind w:left="0" w:leftChars="0" w:right="0" w:rightChars="0" w:firstLine="0"/>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Merge w:val="continue"/>
            <w:vAlign w:val="center"/>
          </w:tcPr>
          <w:p>
            <w:pPr>
              <w:widowControl/>
              <w:ind w:left="0" w:leftChars="0" w:right="0" w:rightChars="0"/>
              <w:jc w:val="center"/>
              <w:rPr>
                <w:szCs w:val="21"/>
              </w:rPr>
            </w:pPr>
          </w:p>
        </w:tc>
        <w:tc>
          <w:tcPr>
            <w:tcW w:w="1135" w:type="dxa"/>
            <w:vMerge w:val="continue"/>
            <w:vAlign w:val="center"/>
          </w:tcPr>
          <w:p>
            <w:pPr>
              <w:widowControl/>
              <w:ind w:left="0" w:leftChars="0" w:right="0" w:rightChars="0"/>
              <w:jc w:val="center"/>
              <w:rPr>
                <w:szCs w:val="21"/>
              </w:rPr>
            </w:pPr>
          </w:p>
        </w:tc>
        <w:tc>
          <w:tcPr>
            <w:tcW w:w="909" w:type="dxa"/>
            <w:vMerge w:val="continue"/>
            <w:vAlign w:val="center"/>
          </w:tcPr>
          <w:p>
            <w:pPr>
              <w:widowControl/>
              <w:ind w:left="0" w:leftChars="0" w:right="0" w:rightChars="0"/>
              <w:jc w:val="center"/>
              <w:rPr>
                <w:szCs w:val="21"/>
              </w:rPr>
            </w:pPr>
          </w:p>
        </w:tc>
        <w:tc>
          <w:tcPr>
            <w:tcW w:w="675"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57" w:type="dxa"/>
            <w:vAlign w:val="center"/>
          </w:tcPr>
          <w:p>
            <w:pPr>
              <w:widowControl/>
              <w:spacing w:line="240" w:lineRule="exact"/>
              <w:ind w:left="0" w:leftChars="0" w:right="0" w:rightChars="0"/>
            </w:pPr>
            <w:r>
              <w:t>1</w:t>
            </w:r>
            <w:r>
              <w:rPr>
                <w:rFonts w:hint="eastAsia"/>
              </w:rPr>
              <w:t>.</w:t>
            </w:r>
            <w:r>
              <w:t>原煤入选率不低于75%；煤矸石综合利用率应达到75%以上；矿井水、疏干水应采用洁净化、资源化技术和工艺进行合理处置，处置率达到100%。</w:t>
            </w:r>
          </w:p>
          <w:p>
            <w:pPr>
              <w:widowControl/>
              <w:spacing w:line="240" w:lineRule="exact"/>
              <w:ind w:left="0" w:leftChars="0" w:right="0" w:rightChars="0"/>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spacing w:line="240" w:lineRule="exact"/>
              <w:ind w:left="0" w:leftChars="0" w:right="0" w:rightChars="0"/>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4" w:type="dxa"/>
            <w:vAlign w:val="center"/>
          </w:tcPr>
          <w:p>
            <w:pPr>
              <w:widowControl/>
              <w:ind w:left="0" w:leftChars="0" w:right="0" w:rightChars="0"/>
              <w:jc w:val="center"/>
              <w:rPr>
                <w:kern w:val="0"/>
                <w:szCs w:val="21"/>
                <w:lang w:bidi="ar"/>
              </w:rPr>
            </w:pPr>
            <w:r>
              <w:rPr>
                <w:kern w:val="0"/>
                <w:szCs w:val="21"/>
                <w:lang w:bidi="ar"/>
              </w:rPr>
              <w:t>ZH15078430001</w:t>
            </w:r>
          </w:p>
        </w:tc>
        <w:tc>
          <w:tcPr>
            <w:tcW w:w="1135" w:type="dxa"/>
            <w:vAlign w:val="center"/>
          </w:tcPr>
          <w:p>
            <w:pPr>
              <w:widowControl/>
              <w:ind w:left="0" w:leftChars="0" w:right="0" w:rightChars="0"/>
              <w:jc w:val="center"/>
              <w:rPr>
                <w:kern w:val="0"/>
                <w:szCs w:val="21"/>
                <w:lang w:bidi="ar"/>
              </w:rPr>
            </w:pPr>
            <w:r>
              <w:rPr>
                <w:kern w:val="0"/>
                <w:szCs w:val="21"/>
                <w:lang w:bidi="ar"/>
              </w:rPr>
              <w:t>额尔古纳市一般管控单元</w:t>
            </w:r>
          </w:p>
        </w:tc>
        <w:tc>
          <w:tcPr>
            <w:tcW w:w="909" w:type="dxa"/>
            <w:vAlign w:val="center"/>
          </w:tcPr>
          <w:p>
            <w:pPr>
              <w:widowControl/>
              <w:ind w:left="0" w:leftChars="0" w:right="0" w:rightChars="0"/>
              <w:jc w:val="center"/>
              <w:rPr>
                <w:szCs w:val="21"/>
              </w:rPr>
            </w:pPr>
            <w:r>
              <w:rPr>
                <w:szCs w:val="21"/>
              </w:rPr>
              <w:t>一般管控单元</w:t>
            </w:r>
          </w:p>
        </w:tc>
        <w:tc>
          <w:tcPr>
            <w:tcW w:w="675" w:type="dxa"/>
            <w:vAlign w:val="center"/>
          </w:tcPr>
          <w:p>
            <w:pPr>
              <w:widowControl/>
              <w:ind w:left="0" w:leftChars="0" w:right="0" w:rightChars="0"/>
              <w:jc w:val="center"/>
              <w:rPr>
                <w:kern w:val="0"/>
                <w:szCs w:val="21"/>
                <w:lang w:bidi="ar"/>
              </w:rPr>
            </w:pPr>
            <w:r>
              <w:rPr>
                <w:kern w:val="0"/>
                <w:szCs w:val="21"/>
                <w:lang w:bidi="ar"/>
              </w:rPr>
              <w:t>空间布局约束</w:t>
            </w:r>
          </w:p>
        </w:tc>
        <w:tc>
          <w:tcPr>
            <w:tcW w:w="5757" w:type="dxa"/>
            <w:vAlign w:val="center"/>
          </w:tcPr>
          <w:p>
            <w:pPr>
              <w:widowControl/>
              <w:spacing w:line="240" w:lineRule="exact"/>
              <w:ind w:left="0" w:leftChars="0" w:right="0" w:rightChars="0"/>
            </w:pPr>
            <w: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spacing w:line="240" w:lineRule="exact"/>
              <w:ind w:left="0" w:leftChars="0" w:right="0" w:rightChars="0"/>
            </w:pPr>
            <w: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47" w:name="_Toc142233282"/>
      <w:r>
        <w:rPr>
          <w:rFonts w:ascii="Times New Roman" w:hAnsi="Times New Roman" w:eastAsia="仿宋_GB2312"/>
        </w:rPr>
        <w:t>（六）呼伦贝尔市</w:t>
      </w:r>
      <w:r>
        <w:rPr>
          <w:rFonts w:ascii="Times New Roman" w:hAnsi="Times New Roman" w:eastAsia="仿宋_GB2312"/>
          <w:bCs/>
          <w:sz w:val="30"/>
          <w:szCs w:val="30"/>
        </w:rPr>
        <w:t>根河市</w:t>
      </w:r>
      <w:r>
        <w:rPr>
          <w:rFonts w:ascii="Times New Roman" w:hAnsi="Times New Roman" w:eastAsia="仿宋_GB2312"/>
        </w:rPr>
        <w:t>生态环境准入清单</w:t>
      </w:r>
      <w:bookmarkEnd w:id="47"/>
    </w:p>
    <w:p>
      <w:pPr>
        <w:ind w:left="0" w:leftChars="0" w:right="0" w:rightChars="0"/>
        <w:jc w:val="center"/>
        <w:rPr>
          <w:b/>
          <w:bCs/>
          <w:sz w:val="28"/>
          <w:szCs w:val="28"/>
        </w:rPr>
      </w:pPr>
      <w:r>
        <w:rPr>
          <w:b/>
          <w:bCs/>
          <w:sz w:val="28"/>
          <w:szCs w:val="28"/>
        </w:rPr>
        <w:t>表6呼伦贝尔市根河市生态环境准入清单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656"/>
        <w:gridCol w:w="1402"/>
        <w:gridCol w:w="1019"/>
        <w:gridCol w:w="8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108" w:type="dxa"/>
            <w:vAlign w:val="center"/>
          </w:tcPr>
          <w:p>
            <w:pPr>
              <w:widowControl/>
              <w:ind w:left="0" w:leftChars="0" w:right="0" w:rightChars="0"/>
              <w:jc w:val="center"/>
              <w:rPr>
                <w:b/>
                <w:bCs/>
                <w:szCs w:val="21"/>
              </w:rPr>
            </w:pPr>
            <w:r>
              <w:rPr>
                <w:b/>
                <w:bCs/>
                <w:szCs w:val="21"/>
              </w:rPr>
              <w:t>环境管控单元名称</w:t>
            </w:r>
          </w:p>
        </w:tc>
        <w:tc>
          <w:tcPr>
            <w:tcW w:w="938" w:type="dxa"/>
            <w:vAlign w:val="center"/>
          </w:tcPr>
          <w:p>
            <w:pPr>
              <w:widowControl/>
              <w:ind w:left="0" w:leftChars="0" w:right="0" w:rightChars="0"/>
              <w:jc w:val="center"/>
              <w:rPr>
                <w:b/>
                <w:bCs/>
                <w:szCs w:val="21"/>
              </w:rPr>
            </w:pPr>
            <w:r>
              <w:rPr>
                <w:b/>
                <w:bCs/>
                <w:szCs w:val="21"/>
              </w:rPr>
              <w:t>管控单元类别</w:t>
            </w:r>
          </w:p>
        </w:tc>
        <w:tc>
          <w:tcPr>
            <w:tcW w:w="6366"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ZH15078510001</w:t>
            </w:r>
          </w:p>
        </w:tc>
        <w:tc>
          <w:tcPr>
            <w:tcW w:w="1108" w:type="dxa"/>
            <w:vAlign w:val="center"/>
          </w:tcPr>
          <w:p>
            <w:pPr>
              <w:widowControl/>
              <w:ind w:left="0" w:leftChars="0" w:right="0" w:rightChars="0"/>
              <w:jc w:val="center"/>
              <w:rPr>
                <w:szCs w:val="21"/>
              </w:rPr>
            </w:pPr>
            <w:r>
              <w:rPr>
                <w:szCs w:val="21"/>
              </w:rPr>
              <w:t>内蒙古伊克萨玛国家森林公园</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p>
          <w:p>
            <w:pPr>
              <w:widowControl/>
              <w:ind w:left="0" w:leftChars="0" w:right="0" w:rightChars="0"/>
              <w:textAlignment w:val="center"/>
              <w:rPr>
                <w:kern w:val="0"/>
                <w:szCs w:val="21"/>
                <w:lang w:bidi="ar"/>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ZH15078510002</w:t>
            </w:r>
          </w:p>
        </w:tc>
        <w:tc>
          <w:tcPr>
            <w:tcW w:w="1108" w:type="dxa"/>
            <w:vAlign w:val="center"/>
          </w:tcPr>
          <w:p>
            <w:pPr>
              <w:widowControl/>
              <w:ind w:left="0" w:leftChars="0" w:right="0" w:rightChars="0"/>
              <w:jc w:val="center"/>
              <w:rPr>
                <w:szCs w:val="21"/>
              </w:rPr>
            </w:pPr>
            <w:r>
              <w:rPr>
                <w:rFonts w:hint="eastAsia"/>
                <w:szCs w:val="21"/>
              </w:rPr>
              <w:t>大兴安岭水源涵养和生物多样性维护生态保护红线</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jc w:val="left"/>
              <w:textAlignment w:val="center"/>
            </w:pPr>
            <w:r>
              <w:t>2.禁止新建高水资源消耗产业；</w:t>
            </w:r>
          </w:p>
          <w:p>
            <w:pPr>
              <w:pStyle w:val="2"/>
              <w:ind w:left="0" w:leftChars="0" w:firstLine="0"/>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4.禁止生物多样性维护生态功能区的大规模水电开发和林纸一体化产业发展</w:t>
            </w:r>
            <w:r>
              <w:rPr>
                <w:rFonts w:hint="eastAsia"/>
              </w:rPr>
              <w:t>；</w:t>
            </w:r>
          </w:p>
          <w:p>
            <w:pPr>
              <w:widowControl/>
              <w:ind w:left="0" w:leftChars="0" w:right="0" w:rightChars="0"/>
              <w:textAlignment w:val="center"/>
              <w:rPr>
                <w:kern w:val="0"/>
                <w:szCs w:val="21"/>
                <w:lang w:bidi="ar"/>
              </w:rP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ZH15078510003</w:t>
            </w:r>
          </w:p>
        </w:tc>
        <w:tc>
          <w:tcPr>
            <w:tcW w:w="1108" w:type="dxa"/>
            <w:vAlign w:val="center"/>
          </w:tcPr>
          <w:p>
            <w:pPr>
              <w:widowControl/>
              <w:ind w:left="0" w:leftChars="0" w:right="0" w:rightChars="0"/>
              <w:jc w:val="center"/>
              <w:rPr>
                <w:szCs w:val="21"/>
              </w:rPr>
            </w:pPr>
            <w:r>
              <w:rPr>
                <w:szCs w:val="21"/>
              </w:rPr>
              <w:t>根河市集中式饮用水水源地</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rPr>
                <w:kern w:val="0"/>
                <w:szCs w:val="21"/>
                <w:lang w:bidi="ar"/>
              </w:rPr>
            </w:pPr>
            <w:r>
              <w:rPr>
                <w:kern w:val="0"/>
                <w:szCs w:val="21"/>
                <w:lang w:bidi="ar"/>
              </w:rPr>
              <w:t>1.在饮用水水源准保护区内，禁止下列行为：</w:t>
            </w:r>
          </w:p>
          <w:p>
            <w:pPr>
              <w:widowControl/>
              <w:ind w:left="0" w:leftChars="0" w:right="0" w:rightChars="0"/>
              <w:textAlignment w:val="center"/>
              <w:rPr>
                <w:kern w:val="0"/>
                <w:szCs w:val="21"/>
                <w:lang w:bidi="ar"/>
              </w:rPr>
            </w:pPr>
            <w:r>
              <w:rPr>
                <w:kern w:val="0"/>
                <w:szCs w:val="21"/>
                <w:lang w:bidi="ar"/>
              </w:rP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rPr>
                <w:kern w:val="0"/>
                <w:szCs w:val="21"/>
                <w:lang w:bidi="ar"/>
              </w:rPr>
            </w:pPr>
            <w:r>
              <w:rPr>
                <w:kern w:val="0"/>
                <w:szCs w:val="21"/>
                <w:lang w:bidi="ar"/>
              </w:rPr>
              <w:t>2.在饮用水水源二级保护区内，除饮用水水源准保护区内禁止的行为外，还禁止下列行为：</w:t>
            </w:r>
          </w:p>
          <w:p>
            <w:pPr>
              <w:widowControl/>
              <w:ind w:left="0" w:leftChars="0" w:right="0" w:rightChars="0"/>
              <w:textAlignment w:val="center"/>
              <w:rPr>
                <w:kern w:val="0"/>
                <w:szCs w:val="21"/>
                <w:lang w:bidi="ar"/>
              </w:rPr>
            </w:pPr>
            <w:r>
              <w:rPr>
                <w:kern w:val="0"/>
                <w:szCs w:val="21"/>
                <w:lang w:bidi="ar"/>
              </w:rP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rPr>
                <w:kern w:val="0"/>
                <w:szCs w:val="21"/>
                <w:lang w:bidi="ar"/>
              </w:rPr>
            </w:pPr>
            <w:r>
              <w:rPr>
                <w:kern w:val="0"/>
                <w:szCs w:val="21"/>
                <w:lang w:bidi="ar"/>
              </w:rPr>
              <w:t>3.在饮用水水源一级保护区内，除饮用水水源准保护区、二级保护区内禁止的行为外，还禁止下列行为：</w:t>
            </w:r>
          </w:p>
          <w:p>
            <w:pPr>
              <w:widowControl/>
              <w:ind w:left="0" w:leftChars="0" w:right="0" w:rightChars="0"/>
              <w:textAlignment w:val="center"/>
              <w:rPr>
                <w:kern w:val="0"/>
                <w:szCs w:val="21"/>
                <w:lang w:bidi="ar"/>
              </w:rPr>
            </w:pPr>
            <w:r>
              <w:rPr>
                <w:kern w:val="0"/>
                <w:szCs w:val="21"/>
                <w:lang w:bidi="ar"/>
              </w:rP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rPr>
                <w:kern w:val="0"/>
                <w:szCs w:val="21"/>
                <w:lang w:bidi="ar"/>
              </w:rPr>
            </w:pPr>
            <w:r>
              <w:rPr>
                <w:kern w:val="0"/>
                <w:szCs w:val="21"/>
                <w:lang w:bidi="ar"/>
              </w:rP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rPr>
                <w:kern w:val="0"/>
                <w:szCs w:val="21"/>
                <w:lang w:bidi="ar"/>
              </w:rPr>
            </w:pPr>
            <w:r>
              <w:rPr>
                <w:kern w:val="0"/>
                <w:szCs w:val="21"/>
                <w:lang w:bidi="ar"/>
              </w:rP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ZH15078510004</w:t>
            </w:r>
          </w:p>
        </w:tc>
        <w:tc>
          <w:tcPr>
            <w:tcW w:w="1108" w:type="dxa"/>
            <w:vAlign w:val="center"/>
          </w:tcPr>
          <w:p>
            <w:pPr>
              <w:widowControl/>
              <w:ind w:left="0" w:leftChars="0" w:right="0" w:rightChars="0"/>
              <w:jc w:val="center"/>
              <w:rPr>
                <w:szCs w:val="21"/>
              </w:rPr>
            </w:pPr>
            <w:r>
              <w:rPr>
                <w:szCs w:val="21"/>
              </w:rPr>
              <w:t>根河市集中式饮用水水源地</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rPr>
                <w:kern w:val="0"/>
                <w:szCs w:val="21"/>
                <w:lang w:bidi="ar"/>
              </w:rPr>
            </w:pPr>
            <w:r>
              <w:rPr>
                <w:kern w:val="0"/>
                <w:szCs w:val="21"/>
                <w:lang w:bidi="ar"/>
              </w:rPr>
              <w:t>1.在饮用水水源准保护区内，禁止下列行为：</w:t>
            </w:r>
          </w:p>
          <w:p>
            <w:pPr>
              <w:widowControl/>
              <w:ind w:left="0" w:leftChars="0" w:right="0" w:rightChars="0"/>
              <w:textAlignment w:val="center"/>
              <w:rPr>
                <w:kern w:val="0"/>
                <w:szCs w:val="21"/>
                <w:lang w:bidi="ar"/>
              </w:rPr>
            </w:pPr>
            <w:r>
              <w:rPr>
                <w:kern w:val="0"/>
                <w:szCs w:val="21"/>
                <w:lang w:bidi="ar"/>
              </w:rP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rPr>
                <w:kern w:val="0"/>
                <w:szCs w:val="21"/>
                <w:lang w:bidi="ar"/>
              </w:rPr>
            </w:pPr>
            <w:r>
              <w:rPr>
                <w:kern w:val="0"/>
                <w:szCs w:val="21"/>
                <w:lang w:bidi="ar"/>
              </w:rPr>
              <w:t>2.在饮用水水源二级保护区内，除饮用水水源准保护区内禁止的行为外，还禁止下列行为：</w:t>
            </w:r>
          </w:p>
          <w:p>
            <w:pPr>
              <w:widowControl/>
              <w:ind w:left="0" w:leftChars="0" w:right="0" w:rightChars="0"/>
              <w:textAlignment w:val="center"/>
              <w:rPr>
                <w:kern w:val="0"/>
                <w:szCs w:val="21"/>
                <w:lang w:bidi="ar"/>
              </w:rPr>
            </w:pPr>
            <w:r>
              <w:rPr>
                <w:kern w:val="0"/>
                <w:szCs w:val="21"/>
                <w:lang w:bidi="ar"/>
              </w:rP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rPr>
                <w:kern w:val="0"/>
                <w:szCs w:val="21"/>
                <w:lang w:bidi="ar"/>
              </w:rPr>
            </w:pPr>
            <w:r>
              <w:rPr>
                <w:kern w:val="0"/>
                <w:szCs w:val="21"/>
                <w:lang w:bidi="ar"/>
              </w:rPr>
              <w:t>3.在饮用水水源一级保护区内，除饮用水水源准保护区、二级保护区内禁止的行为外，还禁止下列行为：</w:t>
            </w:r>
          </w:p>
          <w:p>
            <w:pPr>
              <w:widowControl/>
              <w:ind w:left="0" w:leftChars="0" w:right="0" w:rightChars="0"/>
              <w:textAlignment w:val="center"/>
              <w:rPr>
                <w:kern w:val="0"/>
                <w:szCs w:val="21"/>
                <w:lang w:bidi="ar"/>
              </w:rPr>
            </w:pPr>
            <w:r>
              <w:rPr>
                <w:kern w:val="0"/>
                <w:szCs w:val="21"/>
                <w:lang w:bidi="ar"/>
              </w:rP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rPr>
                <w:kern w:val="0"/>
                <w:szCs w:val="21"/>
                <w:lang w:bidi="ar"/>
              </w:rPr>
            </w:pPr>
            <w:r>
              <w:rPr>
                <w:kern w:val="0"/>
                <w:szCs w:val="21"/>
                <w:lang w:bidi="ar"/>
              </w:rP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rPr>
                <w:kern w:val="0"/>
                <w:szCs w:val="21"/>
                <w:lang w:bidi="ar"/>
              </w:rPr>
            </w:pPr>
            <w:r>
              <w:rPr>
                <w:kern w:val="0"/>
                <w:szCs w:val="21"/>
                <w:lang w:bidi="ar"/>
              </w:rPr>
              <w:t>5. 在饮用水水源一级保护区内已建成的与供水设施和保护水源无关的建设项目，由旗县级以上人民政府责令拆除或者关闭。</w:t>
            </w:r>
          </w:p>
          <w:p>
            <w:pPr>
              <w:widowControl/>
              <w:ind w:left="0" w:leftChars="0" w:right="0" w:rightChars="0"/>
              <w:textAlignment w:val="center"/>
              <w:rPr>
                <w:kern w:val="0"/>
                <w:szCs w:val="21"/>
                <w:lang w:bidi="ar"/>
              </w:rP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rPr>
              <w:t>ZH15078510005</w:t>
            </w:r>
          </w:p>
        </w:tc>
        <w:tc>
          <w:tcPr>
            <w:tcW w:w="1108" w:type="dxa"/>
            <w:vAlign w:val="center"/>
          </w:tcPr>
          <w:p>
            <w:pPr>
              <w:widowControl/>
              <w:ind w:left="0" w:leftChars="0" w:right="0" w:rightChars="0"/>
              <w:jc w:val="center"/>
              <w:rPr>
                <w:szCs w:val="21"/>
              </w:rPr>
            </w:pPr>
            <w:r>
              <w:rPr>
                <w:szCs w:val="21"/>
              </w:rPr>
              <w:t>根河市水源涵养生态功能重要区域</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rPr>
                <w:szCs w:val="21"/>
              </w:rPr>
            </w:pPr>
            <w:r>
              <w:rPr>
                <w:szCs w:val="21"/>
              </w:rPr>
              <w:t>1.严格保护具有水源涵养功能的自然植被，禁止过度放牧、无序采矿、毁林开荒、开垦草原等行为；</w:t>
            </w:r>
          </w:p>
          <w:p>
            <w:pPr>
              <w:widowControl/>
              <w:ind w:left="0" w:leftChars="0" w:right="0" w:rightChars="0"/>
              <w:textAlignment w:val="center"/>
              <w:rPr>
                <w:szCs w:val="21"/>
              </w:rPr>
            </w:pPr>
            <w:r>
              <w:rPr>
                <w:szCs w:val="21"/>
              </w:rPr>
              <w:t>2.禁止新建高水资源消耗产业</w:t>
            </w:r>
            <w:r>
              <w:rPr>
                <w:rFonts w:hint="eastAsia"/>
                <w:szCs w:val="21"/>
              </w:rPr>
              <w:t>；</w:t>
            </w:r>
          </w:p>
          <w:p>
            <w:pPr>
              <w:widowControl/>
              <w:ind w:left="0" w:leftChars="0" w:right="0" w:rightChars="0"/>
              <w:textAlignment w:val="center"/>
              <w:rPr>
                <w:kern w:val="0"/>
                <w:szCs w:val="21"/>
                <w:lang w:bidi="ar"/>
              </w:rPr>
            </w:pPr>
            <w:r>
              <w:rPr>
                <w:rFonts w:hint="eastAsia"/>
                <w:szCs w:val="21"/>
              </w:rPr>
              <w:t>3.根河市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ZH15078510006</w:t>
            </w:r>
          </w:p>
        </w:tc>
        <w:tc>
          <w:tcPr>
            <w:tcW w:w="1108" w:type="dxa"/>
            <w:vAlign w:val="center"/>
          </w:tcPr>
          <w:p>
            <w:pPr>
              <w:widowControl/>
              <w:ind w:left="0" w:leftChars="0" w:right="0" w:rightChars="0"/>
              <w:jc w:val="center"/>
              <w:rPr>
                <w:szCs w:val="21"/>
              </w:rPr>
            </w:pPr>
            <w:r>
              <w:rPr>
                <w:szCs w:val="21"/>
              </w:rPr>
              <w:t>内蒙古阿龙山敖鲁古雅自治区湿地公园</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pStyle w:val="2"/>
              <w:ind w:left="0" w:leftChars="0" w:firstLine="0"/>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ZH15078510007</w:t>
            </w:r>
          </w:p>
        </w:tc>
        <w:tc>
          <w:tcPr>
            <w:tcW w:w="1108" w:type="dxa"/>
            <w:vAlign w:val="center"/>
          </w:tcPr>
          <w:p>
            <w:pPr>
              <w:widowControl/>
              <w:ind w:left="0" w:leftChars="0" w:right="0" w:rightChars="0"/>
              <w:jc w:val="center"/>
              <w:rPr>
                <w:szCs w:val="21"/>
              </w:rPr>
            </w:pPr>
            <w:r>
              <w:rPr>
                <w:szCs w:val="21"/>
              </w:rPr>
              <w:t>内蒙古阿鲁自治区级自然保护区</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szCs w:val="21"/>
              </w:rPr>
            </w:pPr>
            <w:r>
              <w:rPr>
                <w:kern w:val="0"/>
                <w:szCs w:val="21"/>
                <w:lang w:bidi="ar"/>
              </w:rPr>
              <w:t>空间布局约束</w:t>
            </w:r>
          </w:p>
        </w:tc>
        <w:tc>
          <w:tcPr>
            <w:tcW w:w="5684" w:type="dxa"/>
            <w:vAlign w:val="center"/>
          </w:tcPr>
          <w:p>
            <w:pPr>
              <w:pStyle w:val="2"/>
              <w:ind w:left="0" w:leftChars="0" w:right="0" w:rightChars="0" w:firstLine="0"/>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pStyle w:val="2"/>
              <w:ind w:left="0" w:leftChars="0" w:right="0" w:rightChars="0" w:firstLine="0"/>
              <w:rPr>
                <w:kern w:val="0"/>
              </w:rPr>
            </w:pPr>
            <w:r>
              <w:rPr>
                <w:kern w:val="0"/>
              </w:rPr>
              <w:t>2.因教学科研的目的，需要进入自然保护区的缓冲区从事非破坏性的科学研究、教学实习和标本采集活动的，应当事先向自然保护区管理机构提交申请和活动计划，经自然保护区管理机构批准。</w:t>
            </w:r>
          </w:p>
          <w:p>
            <w:pPr>
              <w:pStyle w:val="2"/>
              <w:ind w:left="0" w:leftChars="0" w:right="0" w:rightChars="0" w:firstLine="0"/>
              <w:rPr>
                <w:kern w:val="0"/>
              </w:rPr>
            </w:pPr>
            <w:r>
              <w:rPr>
                <w:rFonts w:hint="eastAsia"/>
                <w:kern w:val="0"/>
              </w:rPr>
              <w:t>3</w:t>
            </w:r>
            <w:r>
              <w:rPr>
                <w:kern w:val="0"/>
              </w:rPr>
              <w:t>.任何单位和个人不得破坏或者擅自移动自然保护区界标。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widowControl/>
              <w:ind w:left="0" w:leftChars="0" w:right="0" w:rightChars="0"/>
              <w:textAlignment w:val="center"/>
              <w:rPr>
                <w:kern w:val="0"/>
              </w:rPr>
            </w:pPr>
            <w:r>
              <w:rPr>
                <w:rFonts w:hint="eastAsia"/>
                <w:kern w:val="0"/>
              </w:rPr>
              <w:t>6</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rPr>
                <w:szCs w:val="21"/>
              </w:rP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ZH15078510008</w:t>
            </w:r>
          </w:p>
        </w:tc>
        <w:tc>
          <w:tcPr>
            <w:tcW w:w="1108" w:type="dxa"/>
            <w:vAlign w:val="center"/>
          </w:tcPr>
          <w:p>
            <w:pPr>
              <w:widowControl/>
              <w:ind w:left="0" w:leftChars="0" w:right="0" w:rightChars="0"/>
              <w:jc w:val="center"/>
              <w:rPr>
                <w:szCs w:val="21"/>
              </w:rPr>
            </w:pPr>
            <w:r>
              <w:rPr>
                <w:szCs w:val="21"/>
              </w:rPr>
              <w:t>内蒙古潮查自治区级自然保护区</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pStyle w:val="2"/>
              <w:ind w:left="0" w:leftChars="0" w:right="0" w:rightChars="0" w:firstLine="0"/>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pStyle w:val="2"/>
              <w:ind w:left="0" w:leftChars="0" w:right="0" w:rightChars="0" w:firstLine="0"/>
              <w:rPr>
                <w:kern w:val="0"/>
              </w:rPr>
            </w:pPr>
            <w:r>
              <w:rPr>
                <w:kern w:val="0"/>
              </w:rPr>
              <w:t>2.因教学科研的目的，需要进入自然保护区的缓冲区从事非破坏性的科学研究、教学实习和标本采集活动的，应当事先向自然保护区管理机构提交申请和活动计划，经自然保护区管理机构批准。</w:t>
            </w:r>
          </w:p>
          <w:p>
            <w:pPr>
              <w:pStyle w:val="2"/>
              <w:ind w:left="0" w:leftChars="0" w:right="0" w:rightChars="0" w:firstLine="0"/>
              <w:rPr>
                <w:kern w:val="0"/>
              </w:rPr>
            </w:pPr>
            <w:r>
              <w:rPr>
                <w:rFonts w:hint="eastAsia"/>
                <w:kern w:val="0"/>
              </w:rPr>
              <w:t>3</w:t>
            </w:r>
            <w:r>
              <w:rPr>
                <w:kern w:val="0"/>
              </w:rPr>
              <w:t>.任何单位和个人不得破坏或者擅自移动自然保护区界标。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widowControl/>
              <w:ind w:left="0" w:leftChars="0" w:right="0" w:rightChars="0"/>
              <w:textAlignment w:val="center"/>
              <w:rPr>
                <w:kern w:val="0"/>
              </w:rPr>
            </w:pPr>
            <w:r>
              <w:rPr>
                <w:rFonts w:hint="eastAsia"/>
                <w:kern w:val="0"/>
              </w:rPr>
              <w:t>6</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r>
              <w:rPr>
                <w:rFonts w:hint="eastAsia"/>
                <w:kern w:val="0"/>
              </w:rPr>
              <w:t>；</w:t>
            </w:r>
          </w:p>
          <w:p>
            <w:pPr>
              <w:widowControl/>
              <w:ind w:left="0" w:leftChars="0" w:right="0" w:rightChars="0"/>
              <w:textAlignment w:val="center"/>
              <w:rPr>
                <w:kern w:val="0"/>
                <w:szCs w:val="21"/>
                <w:lang w:bidi="ar"/>
              </w:rP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ZH15078510009</w:t>
            </w:r>
          </w:p>
        </w:tc>
        <w:tc>
          <w:tcPr>
            <w:tcW w:w="1108" w:type="dxa"/>
            <w:vAlign w:val="center"/>
          </w:tcPr>
          <w:p>
            <w:pPr>
              <w:widowControl/>
              <w:ind w:left="0" w:leftChars="0" w:right="0" w:rightChars="0"/>
              <w:jc w:val="center"/>
              <w:rPr>
                <w:szCs w:val="21"/>
              </w:rPr>
            </w:pPr>
            <w:r>
              <w:rPr>
                <w:szCs w:val="21"/>
              </w:rPr>
              <w:t>内蒙古根河市冷水鱼自治区湿地公园</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073" w:type="dxa"/>
            <w:vAlign w:val="center"/>
          </w:tcPr>
          <w:p>
            <w:pPr>
              <w:widowControl/>
              <w:ind w:left="0" w:leftChars="0" w:right="0" w:rightChars="0"/>
              <w:jc w:val="center"/>
              <w:textAlignment w:val="bottom"/>
              <w:rPr>
                <w:szCs w:val="21"/>
              </w:rPr>
            </w:pPr>
            <w:r>
              <w:rPr>
                <w:rFonts w:hint="eastAsia"/>
                <w:szCs w:val="21"/>
              </w:rPr>
              <w:t>ZH15078510010</w:t>
            </w:r>
          </w:p>
        </w:tc>
        <w:tc>
          <w:tcPr>
            <w:tcW w:w="1108" w:type="dxa"/>
            <w:vAlign w:val="center"/>
          </w:tcPr>
          <w:p>
            <w:pPr>
              <w:widowControl/>
              <w:ind w:left="0" w:leftChars="0" w:right="0" w:rightChars="0"/>
              <w:jc w:val="center"/>
              <w:rPr>
                <w:szCs w:val="21"/>
              </w:rPr>
            </w:pPr>
            <w:r>
              <w:rPr>
                <w:szCs w:val="21"/>
              </w:rPr>
              <w:t>内蒙古根河源国家湿地公园</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rPr>
                <w:kern w:val="0"/>
                <w:szCs w:val="21"/>
                <w:lang w:bidi="ar"/>
              </w:rP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1073" w:type="dxa"/>
            <w:vAlign w:val="center"/>
          </w:tcPr>
          <w:p>
            <w:pPr>
              <w:widowControl/>
              <w:ind w:left="0" w:leftChars="0" w:right="0" w:rightChars="0"/>
              <w:jc w:val="center"/>
              <w:textAlignment w:val="bottom"/>
              <w:rPr>
                <w:szCs w:val="21"/>
              </w:rPr>
            </w:pPr>
            <w:r>
              <w:rPr>
                <w:rFonts w:hint="eastAsia"/>
                <w:szCs w:val="21"/>
              </w:rPr>
              <w:t>ZH15078510011</w:t>
            </w:r>
          </w:p>
        </w:tc>
        <w:tc>
          <w:tcPr>
            <w:tcW w:w="1108" w:type="dxa"/>
            <w:vAlign w:val="center"/>
          </w:tcPr>
          <w:p>
            <w:pPr>
              <w:widowControl/>
              <w:ind w:left="0" w:leftChars="0" w:right="0" w:rightChars="0"/>
              <w:jc w:val="center"/>
              <w:rPr>
                <w:szCs w:val="21"/>
              </w:rPr>
            </w:pPr>
            <w:r>
              <w:rPr>
                <w:rFonts w:hint="eastAsia"/>
                <w:szCs w:val="21"/>
              </w:rPr>
              <w:t>内蒙古根河源国家湿地公园(根河市集中式饮用水水源地)</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rPr>
                <w:kern w:val="0"/>
                <w:szCs w:val="21"/>
                <w:lang w:bidi="ar"/>
              </w:rPr>
            </w:pPr>
            <w:r>
              <w:rPr>
                <w:rFonts w:hint="eastAsia"/>
                <w:kern w:val="0"/>
                <w:szCs w:val="21"/>
                <w:lang w:bidi="ar"/>
              </w:rPr>
              <w:t>4</w:t>
            </w:r>
            <w:r>
              <w:rPr>
                <w:kern w:val="0"/>
                <w:szCs w:val="21"/>
                <w:lang w:bidi="ar"/>
              </w:rPr>
              <w:t>.在饮用水水源准保护区内，禁止下列行为：</w:t>
            </w:r>
          </w:p>
          <w:p>
            <w:pPr>
              <w:widowControl/>
              <w:ind w:left="0" w:leftChars="0" w:right="0" w:rightChars="0"/>
              <w:textAlignment w:val="center"/>
              <w:rPr>
                <w:kern w:val="0"/>
                <w:szCs w:val="21"/>
                <w:lang w:bidi="ar"/>
              </w:rPr>
            </w:pPr>
            <w:r>
              <w:rPr>
                <w:kern w:val="0"/>
                <w:szCs w:val="21"/>
                <w:lang w:bidi="ar"/>
              </w:rP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r>
              <w:rPr>
                <w:rFonts w:hint="eastAsia"/>
                <w:kern w:val="0"/>
                <w:szCs w:val="21"/>
                <w:lang w:bidi="ar"/>
              </w:rPr>
              <w:t>；</w:t>
            </w:r>
          </w:p>
          <w:p>
            <w:pPr>
              <w:widowControl/>
              <w:ind w:left="0" w:leftChars="0" w:right="0" w:rightChars="0"/>
              <w:textAlignment w:val="center"/>
              <w:rPr>
                <w:kern w:val="0"/>
                <w:szCs w:val="21"/>
                <w:lang w:bidi="ar"/>
              </w:rPr>
            </w:pPr>
            <w:r>
              <w:rPr>
                <w:rFonts w:hint="eastAsia"/>
                <w:kern w:val="0"/>
                <w:szCs w:val="21"/>
                <w:lang w:bidi="ar"/>
              </w:rPr>
              <w:t>5</w:t>
            </w:r>
            <w:r>
              <w:rPr>
                <w:kern w:val="0"/>
                <w:szCs w:val="21"/>
                <w:lang w:bidi="ar"/>
              </w:rPr>
              <w:t>.在饮用水水源二级保护区内，除饮用水水源准保护区内禁止的行为外，还禁止下列行为：</w:t>
            </w:r>
          </w:p>
          <w:p>
            <w:pPr>
              <w:widowControl/>
              <w:ind w:left="0" w:leftChars="0" w:right="0" w:rightChars="0"/>
              <w:textAlignment w:val="center"/>
              <w:rPr>
                <w:kern w:val="0"/>
                <w:szCs w:val="21"/>
                <w:lang w:bidi="ar"/>
              </w:rPr>
            </w:pPr>
            <w:r>
              <w:rPr>
                <w:kern w:val="0"/>
                <w:szCs w:val="21"/>
                <w:lang w:bidi="ar"/>
              </w:rP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r>
              <w:rPr>
                <w:rFonts w:hint="eastAsia"/>
                <w:kern w:val="0"/>
                <w:szCs w:val="21"/>
                <w:lang w:bidi="ar"/>
              </w:rPr>
              <w:t>；</w:t>
            </w:r>
          </w:p>
          <w:p>
            <w:pPr>
              <w:widowControl/>
              <w:ind w:left="0" w:leftChars="0" w:right="0" w:rightChars="0"/>
              <w:textAlignment w:val="center"/>
              <w:rPr>
                <w:kern w:val="0"/>
                <w:szCs w:val="21"/>
                <w:lang w:bidi="ar"/>
              </w:rPr>
            </w:pPr>
            <w:r>
              <w:rPr>
                <w:rFonts w:hint="eastAsia"/>
                <w:kern w:val="0"/>
                <w:szCs w:val="21"/>
                <w:lang w:bidi="ar"/>
              </w:rPr>
              <w:t>6</w:t>
            </w:r>
            <w:r>
              <w:rPr>
                <w:kern w:val="0"/>
                <w:szCs w:val="21"/>
                <w:lang w:bidi="ar"/>
              </w:rPr>
              <w:t>.在饮用水水源一级保护区内，除饮用水水源准保护区、二级保护区内禁止的行为外，还禁止下列行为：</w:t>
            </w:r>
          </w:p>
          <w:p>
            <w:pPr>
              <w:widowControl/>
              <w:ind w:left="0" w:leftChars="0" w:right="0" w:rightChars="0"/>
              <w:textAlignment w:val="center"/>
              <w:rPr>
                <w:kern w:val="0"/>
                <w:szCs w:val="21"/>
                <w:lang w:bidi="ar"/>
              </w:rPr>
            </w:pPr>
            <w:r>
              <w:rPr>
                <w:kern w:val="0"/>
                <w:szCs w:val="21"/>
                <w:lang w:bidi="ar"/>
              </w:rP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r>
              <w:rPr>
                <w:rFonts w:hint="eastAsia"/>
                <w:kern w:val="0"/>
                <w:szCs w:val="21"/>
                <w:lang w:bidi="ar"/>
              </w:rPr>
              <w:t>；</w:t>
            </w:r>
          </w:p>
          <w:p>
            <w:pPr>
              <w:widowControl/>
              <w:ind w:left="0" w:leftChars="0" w:right="0" w:rightChars="0"/>
              <w:textAlignment w:val="center"/>
              <w:rPr>
                <w:kern w:val="0"/>
                <w:szCs w:val="21"/>
                <w:lang w:bidi="ar"/>
              </w:rPr>
            </w:pPr>
            <w:r>
              <w:rPr>
                <w:rFonts w:hint="eastAsia"/>
                <w:kern w:val="0"/>
                <w:szCs w:val="21"/>
                <w:lang w:bidi="ar"/>
              </w:rPr>
              <w:t>7</w:t>
            </w:r>
            <w:r>
              <w:rPr>
                <w:kern w:val="0"/>
                <w:szCs w:val="21"/>
                <w:lang w:bidi="ar"/>
              </w:rP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r>
              <w:rPr>
                <w:rFonts w:hint="eastAsia"/>
                <w:kern w:val="0"/>
                <w:szCs w:val="21"/>
                <w:lang w:bidi="ar"/>
              </w:rPr>
              <w:t>；</w:t>
            </w:r>
          </w:p>
          <w:p>
            <w:pPr>
              <w:widowControl/>
              <w:ind w:left="0" w:leftChars="0" w:right="0" w:rightChars="0"/>
              <w:textAlignment w:val="center"/>
            </w:pPr>
            <w:r>
              <w:rPr>
                <w:rFonts w:hint="eastAsia"/>
                <w:kern w:val="0"/>
                <w:szCs w:val="21"/>
                <w:lang w:bidi="ar"/>
              </w:rPr>
              <w:t>8</w:t>
            </w:r>
            <w:r>
              <w:rPr>
                <w:kern w:val="0"/>
                <w:szCs w:val="21"/>
                <w:lang w:bidi="ar"/>
              </w:rPr>
              <w:t>. 在饮用水水源一级保护区内已建成的与供水设施和保护水源无关的建设项目，由旗县级以上人民政府责令拆除或者关闭</w:t>
            </w:r>
            <w:r>
              <w:rPr>
                <w:rFonts w:hint="eastAsia"/>
                <w:kern w:val="0"/>
                <w:szCs w:val="21"/>
                <w:lang w:bidi="ar"/>
              </w:rPr>
              <w:t>；</w:t>
            </w:r>
          </w:p>
          <w:p>
            <w:pPr>
              <w:widowControl/>
              <w:ind w:left="0" w:leftChars="0" w:right="0" w:rightChars="0"/>
              <w:textAlignment w:val="center"/>
            </w:pPr>
            <w:r>
              <w:rPr>
                <w:rFonts w:hint="eastAsia"/>
              </w:rPr>
              <w:t>9.在生态保护红线内的有限人为活动管理要求按照《自然资源部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1073" w:type="dxa"/>
            <w:vAlign w:val="center"/>
          </w:tcPr>
          <w:p>
            <w:pPr>
              <w:widowControl/>
              <w:ind w:left="0" w:leftChars="0" w:right="0" w:rightChars="0"/>
              <w:jc w:val="center"/>
              <w:textAlignment w:val="bottom"/>
              <w:rPr>
                <w:szCs w:val="21"/>
              </w:rPr>
            </w:pPr>
            <w:r>
              <w:rPr>
                <w:rFonts w:hint="eastAsia"/>
                <w:szCs w:val="21"/>
              </w:rPr>
              <w:t>ZH15078510012</w:t>
            </w:r>
          </w:p>
        </w:tc>
        <w:tc>
          <w:tcPr>
            <w:tcW w:w="1108" w:type="dxa"/>
            <w:vAlign w:val="center"/>
          </w:tcPr>
          <w:p>
            <w:pPr>
              <w:widowControl/>
              <w:ind w:left="0" w:leftChars="0" w:right="0" w:rightChars="0"/>
              <w:jc w:val="center"/>
              <w:rPr>
                <w:szCs w:val="21"/>
              </w:rPr>
            </w:pPr>
            <w:r>
              <w:rPr>
                <w:szCs w:val="21"/>
              </w:rPr>
              <w:t>内蒙古汗马国家级自然保护区</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pStyle w:val="2"/>
              <w:ind w:left="0" w:leftChars="0" w:right="0" w:rightChars="0" w:firstLine="0"/>
              <w:rPr>
                <w:kern w:val="0"/>
              </w:rPr>
            </w:pPr>
            <w:r>
              <w:rPr>
                <w:kern w:val="0"/>
              </w:rP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pStyle w:val="2"/>
              <w:ind w:left="0" w:leftChars="0" w:right="0" w:rightChars="0" w:firstLine="0"/>
              <w:rPr>
                <w:kern w:val="0"/>
              </w:rPr>
            </w:pPr>
            <w:r>
              <w:rPr>
                <w:kern w:val="0"/>
              </w:rPr>
              <w:t>2.因教学科研的目的，需要进入自然保护区的缓冲区从事非破坏性的科学研究、教学实习和标本采集活动的，应当事先向自然保护区管理机构提交申请和活动计划，经自然保护区管理机构批准。</w:t>
            </w:r>
          </w:p>
          <w:p>
            <w:pPr>
              <w:pStyle w:val="2"/>
              <w:ind w:left="0" w:leftChars="0" w:right="0" w:rightChars="0" w:firstLine="0"/>
              <w:rPr>
                <w:kern w:val="0"/>
              </w:rPr>
            </w:pPr>
            <w:r>
              <w:rPr>
                <w:rFonts w:hint="eastAsia"/>
                <w:kern w:val="0"/>
              </w:rPr>
              <w:t>3</w:t>
            </w:r>
            <w:r>
              <w:rPr>
                <w:kern w:val="0"/>
              </w:rPr>
              <w:t>.任何单位和个人不得破坏或者擅自移动自然保护区界标。</w:t>
            </w:r>
          </w:p>
          <w:p>
            <w:pPr>
              <w:pStyle w:val="2"/>
              <w:ind w:left="0" w:leftChars="0" w:right="0" w:rightChars="0" w:firstLine="0"/>
              <w:rPr>
                <w:kern w:val="0"/>
              </w:rPr>
            </w:pPr>
            <w:r>
              <w:rPr>
                <w:rFonts w:hint="eastAsia"/>
                <w:kern w:val="0"/>
              </w:rPr>
              <w:t>4</w:t>
            </w:r>
            <w:r>
              <w:rPr>
                <w:kern w:val="0"/>
              </w:rPr>
              <w:t>.在自然保护区的外围保护地带的建设项目，不得损害自然保护区的环境质量。已造成损害的，应当限期治理。</w:t>
            </w:r>
          </w:p>
          <w:p>
            <w:pPr>
              <w:pStyle w:val="2"/>
              <w:ind w:left="0" w:leftChars="0" w:right="0" w:rightChars="0" w:firstLine="0"/>
              <w:rPr>
                <w:kern w:val="0"/>
              </w:rPr>
            </w:pPr>
            <w:r>
              <w:rPr>
                <w:rFonts w:hint="eastAsia"/>
                <w:kern w:val="0"/>
              </w:rPr>
              <w:t>5</w:t>
            </w:r>
            <w:r>
              <w:rPr>
                <w:kern w:val="0"/>
              </w:rPr>
              <w:t>.禁止向自然保护区内倾倒固体废弃物和排放污染废水。</w:t>
            </w:r>
          </w:p>
          <w:p>
            <w:pPr>
              <w:widowControl/>
              <w:ind w:left="0" w:leftChars="0" w:right="0" w:rightChars="0"/>
              <w:textAlignment w:val="center"/>
              <w:rPr>
                <w:kern w:val="0"/>
              </w:rPr>
            </w:pPr>
            <w:r>
              <w:rPr>
                <w:rFonts w:hint="eastAsia"/>
                <w:kern w:val="0"/>
              </w:rPr>
              <w:t>6</w:t>
            </w:r>
            <w:r>
              <w:rPr>
                <w:kern w:val="0"/>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rPr>
                <w:kern w:val="0"/>
                <w:szCs w:val="21"/>
                <w:lang w:bidi="ar"/>
              </w:rP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1073" w:type="dxa"/>
            <w:vAlign w:val="center"/>
          </w:tcPr>
          <w:p>
            <w:pPr>
              <w:widowControl/>
              <w:ind w:left="0" w:leftChars="0" w:right="0" w:rightChars="0"/>
              <w:jc w:val="center"/>
              <w:textAlignment w:val="bottom"/>
              <w:rPr>
                <w:szCs w:val="21"/>
              </w:rPr>
            </w:pPr>
            <w:r>
              <w:rPr>
                <w:rFonts w:hint="eastAsia"/>
                <w:szCs w:val="21"/>
              </w:rPr>
              <w:t>ZH15078510013</w:t>
            </w:r>
          </w:p>
        </w:tc>
        <w:tc>
          <w:tcPr>
            <w:tcW w:w="1108" w:type="dxa"/>
            <w:vAlign w:val="center"/>
          </w:tcPr>
          <w:p>
            <w:pPr>
              <w:widowControl/>
              <w:ind w:left="0" w:leftChars="0" w:right="0" w:rightChars="0"/>
              <w:jc w:val="center"/>
              <w:rPr>
                <w:szCs w:val="21"/>
              </w:rPr>
            </w:pPr>
            <w:r>
              <w:rPr>
                <w:szCs w:val="21"/>
              </w:rPr>
              <w:t>内蒙古卡鲁奔国家湿地公园</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1073" w:type="dxa"/>
            <w:vAlign w:val="center"/>
          </w:tcPr>
          <w:p>
            <w:pPr>
              <w:widowControl/>
              <w:ind w:left="0" w:leftChars="0" w:right="0" w:rightChars="0"/>
              <w:jc w:val="center"/>
              <w:textAlignment w:val="bottom"/>
              <w:rPr>
                <w:szCs w:val="21"/>
              </w:rPr>
            </w:pPr>
            <w:r>
              <w:rPr>
                <w:rFonts w:hint="eastAsia"/>
                <w:szCs w:val="21"/>
              </w:rPr>
              <w:t>ZH15078510014</w:t>
            </w:r>
          </w:p>
        </w:tc>
        <w:tc>
          <w:tcPr>
            <w:tcW w:w="1108" w:type="dxa"/>
            <w:vAlign w:val="center"/>
          </w:tcPr>
          <w:p>
            <w:pPr>
              <w:widowControl/>
              <w:ind w:left="0" w:leftChars="0" w:right="0" w:rightChars="0"/>
              <w:jc w:val="center"/>
              <w:rPr>
                <w:szCs w:val="21"/>
              </w:rPr>
            </w:pPr>
            <w:r>
              <w:rPr>
                <w:szCs w:val="21"/>
              </w:rPr>
              <w:t>内蒙古满归贝尔茨河国家湿地公园</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textAlignment w:val="bottom"/>
              <w:rPr>
                <w:szCs w:val="21"/>
              </w:rPr>
            </w:pPr>
            <w:r>
              <w:rPr>
                <w:rFonts w:hint="eastAsia"/>
                <w:szCs w:val="21"/>
              </w:rPr>
              <w:t>ZH15078510015</w:t>
            </w:r>
          </w:p>
        </w:tc>
        <w:tc>
          <w:tcPr>
            <w:tcW w:w="1108" w:type="dxa"/>
            <w:vAlign w:val="center"/>
          </w:tcPr>
          <w:p>
            <w:pPr>
              <w:widowControl/>
              <w:ind w:left="0" w:leftChars="0" w:right="0" w:rightChars="0"/>
              <w:jc w:val="center"/>
              <w:rPr>
                <w:szCs w:val="21"/>
              </w:rPr>
            </w:pPr>
            <w:r>
              <w:rPr>
                <w:szCs w:val="21"/>
              </w:rPr>
              <w:t>内蒙古牛耳河国家湿地公园</w:t>
            </w:r>
          </w:p>
        </w:tc>
        <w:tc>
          <w:tcPr>
            <w:tcW w:w="938" w:type="dxa"/>
            <w:vAlign w:val="center"/>
          </w:tcPr>
          <w:p>
            <w:pPr>
              <w:widowControl/>
              <w:ind w:left="0" w:leftChars="0" w:right="0" w:rightChars="0"/>
              <w:jc w:val="center"/>
              <w:rPr>
                <w:szCs w:val="21"/>
              </w:rPr>
            </w:pPr>
            <w:r>
              <w:rPr>
                <w:szCs w:val="21"/>
              </w:rPr>
              <w:t>优先保护单元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rPr>
                <w:kern w:val="0"/>
                <w:szCs w:val="21"/>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textAlignment w:val="bottom"/>
              <w:rPr>
                <w:szCs w:val="21"/>
              </w:rPr>
            </w:pPr>
            <w:r>
              <w:rPr>
                <w:kern w:val="0"/>
                <w:szCs w:val="21"/>
                <w:lang w:bidi="ar"/>
              </w:rPr>
              <w:t>ZH15078520001</w:t>
            </w:r>
          </w:p>
        </w:tc>
        <w:tc>
          <w:tcPr>
            <w:tcW w:w="1108" w:type="dxa"/>
            <w:vMerge w:val="restart"/>
            <w:vAlign w:val="center"/>
          </w:tcPr>
          <w:p>
            <w:pPr>
              <w:widowControl/>
              <w:ind w:left="0" w:leftChars="0" w:right="0" w:rightChars="0"/>
              <w:jc w:val="center"/>
              <w:rPr>
                <w:szCs w:val="21"/>
              </w:rPr>
            </w:pPr>
            <w:r>
              <w:rPr>
                <w:kern w:val="0"/>
                <w:szCs w:val="21"/>
                <w:lang w:bidi="ar"/>
              </w:rPr>
              <w:t>根河市城镇空间</w:t>
            </w:r>
          </w:p>
        </w:tc>
        <w:tc>
          <w:tcPr>
            <w:tcW w:w="938" w:type="dxa"/>
            <w:vMerge w:val="restart"/>
            <w:vAlign w:val="center"/>
          </w:tcPr>
          <w:p>
            <w:pPr>
              <w:widowControl/>
              <w:ind w:left="0" w:leftChars="0" w:right="0" w:rightChars="0"/>
              <w:jc w:val="center"/>
              <w:rPr>
                <w:szCs w:val="21"/>
              </w:rPr>
            </w:pPr>
            <w:r>
              <w:rPr>
                <w:szCs w:val="21"/>
              </w:rPr>
              <w:t>重点管控单元</w:t>
            </w: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rPr>
                <w:szCs w:val="21"/>
              </w:rPr>
            </w:pPr>
            <w:r>
              <w:rPr>
                <w:szCs w:val="21"/>
              </w:rPr>
              <w:t>1.扩大城镇集中供热覆盖范围，加大燃煤小锅炉淘汰力度，鼓励采取太阳能、风能多能互补清洁取暖，旗市区城市建成区原则上不再新建35t/h</w:t>
            </w:r>
            <w:r>
              <w:rPr>
                <w:rFonts w:hint="eastAsia"/>
                <w:szCs w:val="21"/>
              </w:rPr>
              <w:t>及</w:t>
            </w:r>
            <w:r>
              <w:rPr>
                <w:szCs w:val="21"/>
              </w:rPr>
              <w:t>以下燃煤锅炉。</w:t>
            </w:r>
          </w:p>
          <w:p>
            <w:pPr>
              <w:widowControl/>
              <w:ind w:left="0" w:leftChars="0" w:right="0" w:rightChars="0"/>
              <w:textAlignment w:val="center"/>
            </w:pPr>
            <w:r>
              <w:rPr>
                <w:szCs w:val="21"/>
              </w:rPr>
              <w:t>2.禁止在居民区和学校、医院、疗养院、养老院等单位周边新建、改建、扩建可能造成土壤污染的建设项目。禁止在人口聚居区域内新（改、扩）建涉重金属及恶臭气体排放</w:t>
            </w:r>
            <w:r>
              <w:t>企业</w:t>
            </w:r>
            <w:r>
              <w:rPr>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textAlignment w:val="bottom"/>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rPr>
                <w:szCs w:val="21"/>
              </w:rPr>
            </w:pPr>
            <w:r>
              <w:rPr>
                <w:szCs w:val="21"/>
              </w:rPr>
              <w:t>1.提升城镇生活污水收集管网覆盖率，逐步实施雨污管网分流改造、管网更新、破损修复、中水回用等工程。</w:t>
            </w:r>
          </w:p>
          <w:p>
            <w:pPr>
              <w:widowControl/>
              <w:ind w:left="0" w:leftChars="0" w:right="0" w:rightChars="0"/>
              <w:textAlignment w:val="center"/>
            </w:pPr>
            <w:r>
              <w:rPr>
                <w:szCs w:val="21"/>
              </w:rP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textAlignment w:val="bottom"/>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82"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rPr>
                <w:szCs w:val="21"/>
              </w:rPr>
            </w:pPr>
            <w:r>
              <w:rPr>
                <w:rFonts w:hint="eastAsia"/>
                <w:szCs w:val="21"/>
              </w:rPr>
              <w:t>1、</w:t>
            </w:r>
            <w:r>
              <w:rPr>
                <w:szCs w:val="21"/>
              </w:rPr>
              <w:t>高污染燃料禁燃区内任何单位不得新建、扩建高污染燃料燃用设施，不得将其他燃料燃用设施改造为高污染燃料燃用设施。高污染燃料销售单位应按照要求逐步取消禁燃区内的销售网点。对于现有的高污染燃料燃用设施，有关单位和个人应当按照规定予以拆除或者改用电、液化石油气等清洁能源。</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073" w:type="dxa"/>
            <w:vMerge w:val="restart"/>
            <w:vAlign w:val="center"/>
          </w:tcPr>
          <w:p>
            <w:pPr>
              <w:widowControl/>
              <w:ind w:left="0" w:leftChars="0" w:right="0" w:rightChars="0"/>
              <w:jc w:val="center"/>
              <w:textAlignment w:val="bottom"/>
              <w:rPr>
                <w:szCs w:val="21"/>
              </w:rPr>
            </w:pPr>
            <w:r>
              <w:rPr>
                <w:rFonts w:hint="eastAsia"/>
                <w:szCs w:val="21"/>
              </w:rPr>
              <w:t>ZH15078520003</w:t>
            </w:r>
          </w:p>
        </w:tc>
        <w:tc>
          <w:tcPr>
            <w:tcW w:w="1108" w:type="dxa"/>
            <w:vMerge w:val="restart"/>
            <w:vAlign w:val="center"/>
          </w:tcPr>
          <w:p>
            <w:pPr>
              <w:widowControl/>
              <w:ind w:left="0" w:leftChars="0" w:right="0" w:rightChars="0"/>
              <w:jc w:val="center"/>
              <w:rPr>
                <w:szCs w:val="21"/>
              </w:rPr>
            </w:pPr>
            <w:r>
              <w:rPr>
                <w:rFonts w:hint="eastAsia"/>
                <w:szCs w:val="21"/>
              </w:rPr>
              <w:t>根河市非金属矿</w:t>
            </w:r>
          </w:p>
        </w:tc>
        <w:tc>
          <w:tcPr>
            <w:tcW w:w="938" w:type="dxa"/>
            <w:vMerge w:val="restart"/>
            <w:vAlign w:val="center"/>
          </w:tcPr>
          <w:p>
            <w:pPr>
              <w:widowControl/>
              <w:ind w:left="0" w:leftChars="0" w:right="0" w:rightChars="0"/>
              <w:jc w:val="center"/>
              <w:rPr>
                <w:szCs w:val="21"/>
              </w:rPr>
            </w:pPr>
            <w:r>
              <w:rPr>
                <w:szCs w:val="21"/>
              </w:rPr>
              <w:t>重点管控单元</w:t>
            </w:r>
          </w:p>
        </w:tc>
        <w:tc>
          <w:tcPr>
            <w:tcW w:w="68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073" w:type="dxa"/>
            <w:vMerge w:val="continue"/>
            <w:vAlign w:val="center"/>
          </w:tcPr>
          <w:p>
            <w:pPr>
              <w:widowControl/>
              <w:ind w:left="0" w:leftChars="0" w:right="0" w:rightChars="0"/>
              <w:jc w:val="center"/>
              <w:textAlignment w:val="center"/>
            </w:pPr>
          </w:p>
        </w:tc>
        <w:tc>
          <w:tcPr>
            <w:tcW w:w="1108" w:type="dxa"/>
            <w:vMerge w:val="continue"/>
            <w:vAlign w:val="center"/>
          </w:tcPr>
          <w:p>
            <w:pPr>
              <w:widowControl/>
              <w:ind w:left="0" w:leftChars="0" w:right="0" w:rightChars="0"/>
              <w:jc w:val="center"/>
              <w:textAlignment w:val="center"/>
            </w:pPr>
          </w:p>
        </w:tc>
        <w:tc>
          <w:tcPr>
            <w:tcW w:w="938" w:type="dxa"/>
            <w:vMerge w:val="continue"/>
            <w:vAlign w:val="center"/>
          </w:tcPr>
          <w:p>
            <w:pPr>
              <w:widowControl/>
              <w:ind w:left="0" w:leftChars="0" w:right="0" w:rightChars="0"/>
              <w:jc w:val="center"/>
              <w:textAlignment w:val="center"/>
            </w:pPr>
          </w:p>
        </w:tc>
        <w:tc>
          <w:tcPr>
            <w:tcW w:w="68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tabs>
                <w:tab w:val="left" w:pos="312"/>
              </w:tabs>
              <w:jc w:val="left"/>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szCs w:val="21"/>
              </w:rPr>
              <w:t>3.</w:t>
            </w:r>
            <w:r>
              <w:rPr>
                <w:rFonts w:hint="eastAsia"/>
                <w:szCs w:val="21"/>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073" w:type="dxa"/>
            <w:vMerge w:val="continue"/>
            <w:vAlign w:val="center"/>
          </w:tcPr>
          <w:p>
            <w:pPr>
              <w:widowControl/>
              <w:ind w:left="0" w:leftChars="0" w:right="0" w:rightChars="0"/>
              <w:jc w:val="center"/>
              <w:textAlignment w:val="center"/>
              <w:rPr>
                <w:kern w:val="0"/>
                <w:szCs w:val="21"/>
                <w:lang w:bidi="ar"/>
              </w:rPr>
            </w:pPr>
          </w:p>
        </w:tc>
        <w:tc>
          <w:tcPr>
            <w:tcW w:w="1108" w:type="dxa"/>
            <w:vMerge w:val="continue"/>
            <w:vAlign w:val="center"/>
          </w:tcPr>
          <w:p>
            <w:pPr>
              <w:widowControl/>
              <w:ind w:left="0" w:leftChars="0" w:right="0" w:rightChars="0"/>
              <w:jc w:val="center"/>
              <w:textAlignment w:val="center"/>
              <w:rPr>
                <w:kern w:val="0"/>
                <w:szCs w:val="21"/>
                <w:lang w:bidi="ar"/>
              </w:rPr>
            </w:pPr>
          </w:p>
        </w:tc>
        <w:tc>
          <w:tcPr>
            <w:tcW w:w="938" w:type="dxa"/>
            <w:vMerge w:val="continue"/>
            <w:vAlign w:val="center"/>
          </w:tcPr>
          <w:p>
            <w:pPr>
              <w:widowControl/>
              <w:ind w:left="0" w:leftChars="0" w:right="0" w:rightChars="0"/>
              <w:jc w:val="center"/>
              <w:textAlignment w:val="center"/>
              <w:rPr>
                <w:kern w:val="0"/>
                <w:szCs w:val="21"/>
                <w:lang w:bidi="ar"/>
              </w:rPr>
            </w:pPr>
          </w:p>
        </w:tc>
        <w:tc>
          <w:tcPr>
            <w:tcW w:w="68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jc w:val="left"/>
              <w:rPr>
                <w:szCs w:val="21"/>
              </w:rPr>
            </w:pPr>
            <w:r>
              <w:rPr>
                <w:szCs w:val="21"/>
              </w:rPr>
              <w:t>1.制定环境风险应急预案，成立应急组织机构，配备必要的应急设施和应急物资，定期开展环境风险应急演练。</w:t>
            </w:r>
          </w:p>
          <w:p>
            <w:pPr>
              <w:widowControl/>
              <w:ind w:left="0" w:leftChars="0" w:right="0" w:rightChars="0"/>
              <w:textAlignment w:val="center"/>
              <w:rPr>
                <w:kern w:val="0"/>
                <w:szCs w:val="21"/>
                <w:lang w:bidi="ar"/>
              </w:rPr>
            </w:pPr>
            <w:r>
              <w:rPr>
                <w:szCs w:val="21"/>
              </w:rP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1073" w:type="dxa"/>
            <w:vMerge w:val="continue"/>
            <w:vAlign w:val="center"/>
          </w:tcPr>
          <w:p>
            <w:pPr>
              <w:widowControl/>
              <w:ind w:left="0" w:leftChars="0" w:right="0" w:rightChars="0"/>
              <w:jc w:val="center"/>
              <w:textAlignment w:val="center"/>
              <w:rPr>
                <w:kern w:val="0"/>
                <w:szCs w:val="21"/>
                <w:lang w:bidi="ar"/>
              </w:rPr>
            </w:pPr>
          </w:p>
        </w:tc>
        <w:tc>
          <w:tcPr>
            <w:tcW w:w="1108" w:type="dxa"/>
            <w:vMerge w:val="continue"/>
            <w:vAlign w:val="center"/>
          </w:tcPr>
          <w:p>
            <w:pPr>
              <w:widowControl/>
              <w:ind w:left="0" w:leftChars="0" w:right="0" w:rightChars="0"/>
              <w:jc w:val="center"/>
              <w:textAlignment w:val="center"/>
              <w:rPr>
                <w:kern w:val="0"/>
                <w:szCs w:val="21"/>
                <w:lang w:bidi="ar"/>
              </w:rPr>
            </w:pPr>
          </w:p>
        </w:tc>
        <w:tc>
          <w:tcPr>
            <w:tcW w:w="938" w:type="dxa"/>
            <w:vMerge w:val="continue"/>
            <w:vAlign w:val="center"/>
          </w:tcPr>
          <w:p>
            <w:pPr>
              <w:widowControl/>
              <w:ind w:left="0" w:leftChars="0" w:right="0" w:rightChars="0"/>
              <w:jc w:val="center"/>
              <w:textAlignment w:val="center"/>
              <w:rPr>
                <w:kern w:val="0"/>
                <w:szCs w:val="21"/>
                <w:lang w:bidi="ar"/>
              </w:rPr>
            </w:pPr>
          </w:p>
        </w:tc>
        <w:tc>
          <w:tcPr>
            <w:tcW w:w="68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jc w:val="left"/>
              <w:rPr>
                <w:kern w:val="0"/>
                <w:szCs w:val="21"/>
                <w:lang w:bidi="ar"/>
              </w:rPr>
            </w:pPr>
            <w:r>
              <w:rPr>
                <w:szCs w:val="21"/>
              </w:rP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textAlignment w:val="bottom"/>
              <w:rPr>
                <w:kern w:val="0"/>
                <w:sz w:val="20"/>
                <w:szCs w:val="20"/>
                <w:lang w:bidi="ar"/>
              </w:rPr>
            </w:pPr>
            <w:r>
              <w:rPr>
                <w:rFonts w:hint="eastAsia"/>
                <w:kern w:val="0"/>
                <w:sz w:val="20"/>
                <w:szCs w:val="20"/>
                <w:lang w:bidi="ar"/>
              </w:rPr>
              <w:t>ZH1507852000</w:t>
            </w:r>
            <w:r>
              <w:rPr>
                <w:kern w:val="0"/>
                <w:sz w:val="20"/>
                <w:szCs w:val="20"/>
                <w:lang w:bidi="ar"/>
              </w:rPr>
              <w:t>2</w:t>
            </w:r>
          </w:p>
        </w:tc>
        <w:tc>
          <w:tcPr>
            <w:tcW w:w="1108" w:type="dxa"/>
            <w:vMerge w:val="restart"/>
            <w:vAlign w:val="center"/>
          </w:tcPr>
          <w:p>
            <w:pPr>
              <w:widowControl/>
              <w:ind w:left="0" w:leftChars="0" w:right="0" w:rightChars="0"/>
              <w:jc w:val="center"/>
              <w:textAlignment w:val="bottom"/>
              <w:rPr>
                <w:kern w:val="0"/>
                <w:sz w:val="20"/>
                <w:szCs w:val="20"/>
                <w:lang w:bidi="ar"/>
              </w:rPr>
            </w:pPr>
            <w:r>
              <w:rPr>
                <w:kern w:val="0"/>
                <w:sz w:val="20"/>
                <w:szCs w:val="20"/>
                <w:lang w:bidi="ar"/>
              </w:rPr>
              <w:t>根河市金属矿</w:t>
            </w:r>
          </w:p>
        </w:tc>
        <w:tc>
          <w:tcPr>
            <w:tcW w:w="938" w:type="dxa"/>
            <w:vMerge w:val="restart"/>
            <w:vAlign w:val="center"/>
          </w:tcPr>
          <w:p>
            <w:pPr>
              <w:widowControl/>
              <w:ind w:left="0" w:leftChars="0" w:right="0" w:rightChars="0"/>
              <w:jc w:val="center"/>
              <w:rPr>
                <w:szCs w:val="21"/>
              </w:rPr>
            </w:pPr>
            <w:r>
              <w:rPr>
                <w:szCs w:val="21"/>
              </w:rPr>
              <w:t>重点管控单元</w:t>
            </w:r>
          </w:p>
        </w:tc>
        <w:tc>
          <w:tcPr>
            <w:tcW w:w="68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rPr>
                <w:kern w:val="0"/>
                <w:szCs w:val="21"/>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textAlignment w:val="bottom"/>
              <w:rPr>
                <w:kern w:val="0"/>
                <w:sz w:val="20"/>
                <w:szCs w:val="20"/>
                <w:lang w:bidi="ar"/>
              </w:rPr>
            </w:pPr>
          </w:p>
        </w:tc>
        <w:tc>
          <w:tcPr>
            <w:tcW w:w="1108" w:type="dxa"/>
            <w:vMerge w:val="continue"/>
            <w:vAlign w:val="center"/>
          </w:tcPr>
          <w:p>
            <w:pPr>
              <w:widowControl/>
              <w:ind w:left="0" w:leftChars="0" w:right="0" w:rightChars="0"/>
              <w:jc w:val="center"/>
              <w:textAlignment w:val="bottom"/>
              <w:rPr>
                <w:kern w:val="0"/>
                <w:sz w:val="20"/>
                <w:szCs w:val="20"/>
                <w:lang w:bidi="ar"/>
              </w:rPr>
            </w:pPr>
          </w:p>
        </w:tc>
        <w:tc>
          <w:tcPr>
            <w:tcW w:w="938" w:type="dxa"/>
            <w:vMerge w:val="continue"/>
            <w:vAlign w:val="center"/>
          </w:tcPr>
          <w:p>
            <w:pPr>
              <w:widowControl/>
              <w:ind w:left="0" w:leftChars="0" w:right="0" w:rightChars="0"/>
              <w:jc w:val="center"/>
              <w:rPr>
                <w:szCs w:val="21"/>
              </w:rPr>
            </w:pPr>
          </w:p>
        </w:tc>
        <w:tc>
          <w:tcPr>
            <w:tcW w:w="682" w:type="dxa"/>
            <w:vAlign w:val="center"/>
          </w:tcPr>
          <w:p>
            <w:pPr>
              <w:widowControl/>
              <w:ind w:left="0" w:leftChars="0" w:right="0" w:rightChars="0"/>
              <w:jc w:val="center"/>
              <w:rPr>
                <w:kern w:val="0"/>
                <w:szCs w:val="21"/>
                <w:lang w:bidi="ar"/>
              </w:rPr>
            </w:pPr>
            <w:r>
              <w:rPr>
                <w:kern w:val="0"/>
                <w:szCs w:val="21"/>
                <w:lang w:bidi="ar"/>
              </w:rPr>
              <w:t>污染物排放管控</w:t>
            </w:r>
          </w:p>
        </w:tc>
        <w:tc>
          <w:tcPr>
            <w:tcW w:w="5684"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w:t>
            </w:r>
            <w:r>
              <w:t>《矿山生态环境保护与治理恢复技术规范（试行）》</w:t>
            </w:r>
            <w:r>
              <w:rPr>
                <w:szCs w:val="21"/>
              </w:rPr>
              <w:t>（HJ651-2013）要求。落实边开采、边保护、边复垦的要求，使新建、在建矿山损毁土地得到全面复垦。</w:t>
            </w:r>
          </w:p>
          <w:p>
            <w:pPr>
              <w:widowControl/>
              <w:tabs>
                <w:tab w:val="left" w:pos="312"/>
              </w:tabs>
              <w:jc w:val="left"/>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Cs w:val="21"/>
                <w:lang w:bidi="ar"/>
              </w:rPr>
            </w:pPr>
            <w:r>
              <w:rPr>
                <w:szCs w:val="21"/>
              </w:rPr>
              <w:t>3.</w:t>
            </w:r>
            <w:r>
              <w:rPr>
                <w:rFonts w:hint="eastAsia"/>
                <w:szCs w:val="21"/>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textAlignment w:val="bottom"/>
              <w:rPr>
                <w:kern w:val="0"/>
                <w:sz w:val="20"/>
                <w:szCs w:val="20"/>
                <w:lang w:bidi="ar"/>
              </w:rPr>
            </w:pPr>
          </w:p>
        </w:tc>
        <w:tc>
          <w:tcPr>
            <w:tcW w:w="1108" w:type="dxa"/>
            <w:vMerge w:val="continue"/>
            <w:vAlign w:val="center"/>
          </w:tcPr>
          <w:p>
            <w:pPr>
              <w:widowControl/>
              <w:ind w:left="0" w:leftChars="0" w:right="0" w:rightChars="0"/>
              <w:jc w:val="center"/>
              <w:textAlignment w:val="bottom"/>
              <w:rPr>
                <w:kern w:val="0"/>
                <w:sz w:val="20"/>
                <w:szCs w:val="20"/>
                <w:lang w:bidi="ar"/>
              </w:rPr>
            </w:pPr>
          </w:p>
        </w:tc>
        <w:tc>
          <w:tcPr>
            <w:tcW w:w="938" w:type="dxa"/>
            <w:vMerge w:val="continue"/>
            <w:vAlign w:val="center"/>
          </w:tcPr>
          <w:p>
            <w:pPr>
              <w:widowControl/>
              <w:ind w:left="0" w:leftChars="0" w:right="0" w:rightChars="0"/>
              <w:jc w:val="center"/>
              <w:rPr>
                <w:szCs w:val="21"/>
              </w:rPr>
            </w:pPr>
          </w:p>
        </w:tc>
        <w:tc>
          <w:tcPr>
            <w:tcW w:w="682" w:type="dxa"/>
            <w:vAlign w:val="center"/>
          </w:tcPr>
          <w:p>
            <w:pPr>
              <w:widowControl/>
              <w:ind w:left="0" w:leftChars="0" w:right="0" w:rightChars="0"/>
              <w:jc w:val="center"/>
              <w:rPr>
                <w:kern w:val="0"/>
                <w:szCs w:val="21"/>
                <w:lang w:bidi="ar"/>
              </w:rPr>
            </w:pPr>
            <w:r>
              <w:rPr>
                <w:szCs w:val="21"/>
              </w:rPr>
              <w:t>环境风险防控</w:t>
            </w:r>
          </w:p>
        </w:tc>
        <w:tc>
          <w:tcPr>
            <w:tcW w:w="5684" w:type="dxa"/>
            <w:vAlign w:val="center"/>
          </w:tcPr>
          <w:p>
            <w:pPr>
              <w:widowControl/>
              <w:ind w:left="0" w:leftChars="0" w:right="0" w:rightChars="0"/>
              <w:textAlignment w:val="center"/>
              <w:rPr>
                <w:szCs w:val="21"/>
              </w:rPr>
            </w:pPr>
            <w:r>
              <w:rPr>
                <w:szCs w:val="21"/>
              </w:rPr>
              <w:t>1.制定环境风险应急预案，成立应急组织机构，配备必要的应急设施和应急物资，定期开展环境风险应急演练。</w:t>
            </w:r>
          </w:p>
          <w:p>
            <w:pPr>
              <w:widowControl/>
              <w:ind w:left="0" w:leftChars="0" w:right="0" w:rightChars="0"/>
              <w:textAlignment w:val="center"/>
              <w:rPr>
                <w:kern w:val="0"/>
                <w:szCs w:val="21"/>
                <w:lang w:bidi="ar"/>
              </w:rPr>
            </w:pPr>
            <w:r>
              <w:rPr>
                <w:szCs w:val="21"/>
              </w:rPr>
              <w:t>2.全面整治历史遗留尾矿库，完善覆膜、压土、排洪、堤坝加固等隐患治理和闭库措施。有重点监管尾矿库的</w:t>
            </w:r>
            <w:r>
              <w:t>企业</w:t>
            </w:r>
            <w:r>
              <w:rPr>
                <w:szCs w:val="21"/>
              </w:rPr>
              <w:t>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textAlignment w:val="bottom"/>
              <w:rPr>
                <w:kern w:val="0"/>
                <w:sz w:val="20"/>
                <w:szCs w:val="20"/>
                <w:lang w:bidi="ar"/>
              </w:rPr>
            </w:pPr>
          </w:p>
        </w:tc>
        <w:tc>
          <w:tcPr>
            <w:tcW w:w="1108" w:type="dxa"/>
            <w:vMerge w:val="continue"/>
            <w:vAlign w:val="center"/>
          </w:tcPr>
          <w:p>
            <w:pPr>
              <w:widowControl/>
              <w:ind w:left="0" w:leftChars="0" w:right="0" w:rightChars="0"/>
              <w:jc w:val="center"/>
              <w:textAlignment w:val="bottom"/>
              <w:rPr>
                <w:kern w:val="0"/>
                <w:sz w:val="20"/>
                <w:szCs w:val="20"/>
                <w:lang w:bidi="ar"/>
              </w:rPr>
            </w:pPr>
          </w:p>
        </w:tc>
        <w:tc>
          <w:tcPr>
            <w:tcW w:w="938" w:type="dxa"/>
            <w:vMerge w:val="continue"/>
            <w:vAlign w:val="center"/>
          </w:tcPr>
          <w:p>
            <w:pPr>
              <w:widowControl/>
              <w:ind w:left="0" w:leftChars="0" w:right="0" w:rightChars="0"/>
              <w:jc w:val="center"/>
              <w:rPr>
                <w:szCs w:val="21"/>
              </w:rPr>
            </w:pPr>
          </w:p>
        </w:tc>
        <w:tc>
          <w:tcPr>
            <w:tcW w:w="68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84" w:type="dxa"/>
            <w:vAlign w:val="center"/>
          </w:tcPr>
          <w:p>
            <w:pPr>
              <w:widowControl/>
              <w:ind w:left="0" w:leftChars="0" w:right="0" w:rightChars="0"/>
              <w:textAlignment w:val="center"/>
              <w:rPr>
                <w:kern w:val="0"/>
                <w:szCs w:val="21"/>
                <w:lang w:bidi="ar"/>
              </w:rPr>
            </w:pPr>
            <w:r>
              <w:rPr>
                <w:szCs w:val="21"/>
              </w:rPr>
              <w:t>2025年，矿山“三率”水平达标率达95%以上，废水利用率达85%以上，固废处理率100%，生产矿山</w:t>
            </w:r>
            <w:r>
              <w:t>地质环境</w:t>
            </w:r>
            <w:r>
              <w:rPr>
                <w:szCs w:val="21"/>
              </w:rPr>
              <w:t>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kern w:val="0"/>
                <w:szCs w:val="21"/>
                <w:lang w:bidi="ar"/>
              </w:rPr>
            </w:pPr>
            <w:r>
              <w:rPr>
                <w:kern w:val="0"/>
                <w:szCs w:val="21"/>
                <w:lang w:bidi="ar"/>
              </w:rPr>
              <w:t>ZH15078530001</w:t>
            </w:r>
          </w:p>
        </w:tc>
        <w:tc>
          <w:tcPr>
            <w:tcW w:w="1108" w:type="dxa"/>
            <w:vAlign w:val="center"/>
          </w:tcPr>
          <w:p>
            <w:pPr>
              <w:widowControl/>
              <w:ind w:left="0" w:leftChars="0" w:right="0" w:rightChars="0"/>
              <w:jc w:val="center"/>
              <w:rPr>
                <w:kern w:val="0"/>
                <w:szCs w:val="21"/>
                <w:lang w:bidi="ar"/>
              </w:rPr>
            </w:pPr>
            <w:r>
              <w:rPr>
                <w:kern w:val="0"/>
                <w:szCs w:val="21"/>
                <w:lang w:bidi="ar"/>
              </w:rPr>
              <w:t>根河市一般管控单元</w:t>
            </w:r>
          </w:p>
        </w:tc>
        <w:tc>
          <w:tcPr>
            <w:tcW w:w="938" w:type="dxa"/>
            <w:vAlign w:val="center"/>
          </w:tcPr>
          <w:p>
            <w:pPr>
              <w:widowControl/>
              <w:ind w:left="0" w:leftChars="0" w:right="0" w:rightChars="0"/>
              <w:jc w:val="center"/>
              <w:rPr>
                <w:szCs w:val="21"/>
              </w:rPr>
            </w:pPr>
            <w:r>
              <w:rPr>
                <w:szCs w:val="21"/>
              </w:rPr>
              <w:t>一般管控单元</w:t>
            </w:r>
          </w:p>
        </w:tc>
        <w:tc>
          <w:tcPr>
            <w:tcW w:w="682" w:type="dxa"/>
            <w:vAlign w:val="center"/>
          </w:tcPr>
          <w:p>
            <w:pPr>
              <w:widowControl/>
              <w:ind w:left="0" w:leftChars="0" w:right="0" w:rightChars="0"/>
              <w:jc w:val="center"/>
              <w:rPr>
                <w:kern w:val="0"/>
                <w:szCs w:val="21"/>
                <w:lang w:bidi="ar"/>
              </w:rPr>
            </w:pPr>
            <w:r>
              <w:rPr>
                <w:kern w:val="0"/>
                <w:szCs w:val="21"/>
                <w:lang w:bidi="ar"/>
              </w:rPr>
              <w:t>空间布局约束</w:t>
            </w:r>
          </w:p>
        </w:tc>
        <w:tc>
          <w:tcPr>
            <w:tcW w:w="5684" w:type="dxa"/>
            <w:vAlign w:val="center"/>
          </w:tcPr>
          <w:p>
            <w:pPr>
              <w:widowControl/>
              <w:ind w:left="0" w:leftChars="0" w:right="0" w:rightChars="0"/>
              <w:textAlignment w:val="center"/>
              <w:rPr>
                <w:szCs w:val="21"/>
              </w:rPr>
            </w:pPr>
            <w:r>
              <w:rPr>
                <w:szCs w:val="21"/>
              </w:rP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rPr>
                <w:szCs w:val="21"/>
              </w:rPr>
            </w:pPr>
            <w:r>
              <w:rPr>
                <w:szCs w:val="21"/>
              </w:rP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48" w:name="_Toc142233283"/>
      <w:r>
        <w:rPr>
          <w:rFonts w:ascii="Times New Roman" w:hAnsi="Times New Roman" w:eastAsia="仿宋_GB2312"/>
        </w:rPr>
        <w:t>（七）呼伦贝尔市阿荣旗生态环境准入清单</w:t>
      </w:r>
      <w:bookmarkEnd w:id="48"/>
    </w:p>
    <w:p>
      <w:pPr>
        <w:ind w:left="0" w:leftChars="0" w:right="0" w:rightChars="0"/>
        <w:jc w:val="center"/>
        <w:rPr>
          <w:b/>
          <w:bCs/>
          <w:sz w:val="28"/>
          <w:szCs w:val="28"/>
        </w:rPr>
      </w:pPr>
      <w:r>
        <w:rPr>
          <w:b/>
          <w:bCs/>
          <w:sz w:val="28"/>
          <w:szCs w:val="28"/>
        </w:rPr>
        <w:t>表7呼伦贝尔市阿荣旗生态环境准入清单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1704"/>
        <w:gridCol w:w="1300"/>
        <w:gridCol w:w="1094"/>
        <w:gridCol w:w="8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145" w:type="dxa"/>
            <w:vAlign w:val="center"/>
          </w:tcPr>
          <w:p>
            <w:pPr>
              <w:widowControl/>
              <w:ind w:left="0" w:leftChars="0" w:right="0" w:rightChars="0"/>
              <w:jc w:val="center"/>
              <w:rPr>
                <w:b/>
                <w:bCs/>
                <w:szCs w:val="21"/>
              </w:rPr>
            </w:pPr>
            <w:r>
              <w:rPr>
                <w:b/>
                <w:bCs/>
                <w:szCs w:val="21"/>
              </w:rPr>
              <w:t>环境管控单元名称</w:t>
            </w:r>
          </w:p>
        </w:tc>
        <w:tc>
          <w:tcPr>
            <w:tcW w:w="873" w:type="dxa"/>
            <w:vAlign w:val="center"/>
          </w:tcPr>
          <w:p>
            <w:pPr>
              <w:widowControl/>
              <w:ind w:left="0" w:leftChars="0" w:right="0" w:rightChars="0"/>
              <w:jc w:val="center"/>
              <w:rPr>
                <w:b/>
                <w:bCs/>
                <w:szCs w:val="21"/>
              </w:rPr>
            </w:pPr>
            <w:r>
              <w:rPr>
                <w:b/>
                <w:bCs/>
                <w:szCs w:val="21"/>
              </w:rPr>
              <w:t>管控单元类别</w:t>
            </w:r>
          </w:p>
        </w:tc>
        <w:tc>
          <w:tcPr>
            <w:tcW w:w="6431"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ZH15072110001</w:t>
            </w:r>
          </w:p>
        </w:tc>
        <w:tc>
          <w:tcPr>
            <w:tcW w:w="1145" w:type="dxa"/>
            <w:vAlign w:val="center"/>
          </w:tcPr>
          <w:p>
            <w:pPr>
              <w:widowControl/>
              <w:ind w:left="0" w:leftChars="0" w:right="0" w:rightChars="0"/>
              <w:jc w:val="center"/>
              <w:rPr>
                <w:szCs w:val="21"/>
              </w:rPr>
            </w:pPr>
            <w:r>
              <w:rPr>
                <w:rFonts w:hint="eastAsia"/>
                <w:szCs w:val="21"/>
              </w:rPr>
              <w:t>大兴安岭水源涵养和生物多样性维护生态保护红线</w:t>
            </w:r>
          </w:p>
        </w:tc>
        <w:tc>
          <w:tcPr>
            <w:tcW w:w="873" w:type="dxa"/>
            <w:vAlign w:val="center"/>
          </w:tcPr>
          <w:p>
            <w:pPr>
              <w:widowControl/>
              <w:ind w:left="0" w:leftChars="0" w:right="0" w:rightChars="0"/>
              <w:jc w:val="center"/>
              <w:rPr>
                <w:szCs w:val="21"/>
              </w:rPr>
            </w:pPr>
            <w:r>
              <w:rPr>
                <w:szCs w:val="21"/>
              </w:rPr>
              <w:t>优先保护单元</w:t>
            </w:r>
          </w:p>
        </w:tc>
        <w:tc>
          <w:tcPr>
            <w:tcW w:w="73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p>
          <w:p>
            <w:pPr>
              <w:widowControl/>
              <w:ind w:left="0" w:leftChars="0" w:right="0" w:rightChars="0"/>
              <w:textAlignment w:val="center"/>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4.禁止生物多样性维护生态功能区的大规模水电开发和林纸一体化产业发展</w:t>
            </w:r>
            <w:r>
              <w:rPr>
                <w:rFonts w:hint="eastAsia"/>
              </w:rPr>
              <w:t>；</w:t>
            </w:r>
          </w:p>
          <w:p>
            <w:pPr>
              <w:widowControl/>
              <w:ind w:left="0" w:leftChars="0" w:right="0" w:rightChars="0"/>
              <w:textAlignment w:val="cente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ZH15072110002</w:t>
            </w:r>
          </w:p>
        </w:tc>
        <w:tc>
          <w:tcPr>
            <w:tcW w:w="1145" w:type="dxa"/>
            <w:vAlign w:val="center"/>
          </w:tcPr>
          <w:p>
            <w:pPr>
              <w:widowControl/>
              <w:ind w:left="0" w:leftChars="0" w:right="0" w:rightChars="0"/>
              <w:jc w:val="center"/>
              <w:rPr>
                <w:szCs w:val="21"/>
              </w:rPr>
            </w:pPr>
            <w:r>
              <w:rPr>
                <w:szCs w:val="21"/>
              </w:rPr>
              <w:t>阿荣旗水源涵养生态功能重要区域</w:t>
            </w:r>
          </w:p>
        </w:tc>
        <w:tc>
          <w:tcPr>
            <w:tcW w:w="873" w:type="dxa"/>
            <w:vAlign w:val="center"/>
          </w:tcPr>
          <w:p>
            <w:pPr>
              <w:widowControl/>
              <w:ind w:left="0" w:leftChars="0" w:right="0" w:rightChars="0"/>
              <w:jc w:val="center"/>
              <w:rPr>
                <w:szCs w:val="21"/>
              </w:rPr>
            </w:pPr>
            <w:r>
              <w:rPr>
                <w:szCs w:val="21"/>
              </w:rPr>
              <w:t>优先保护单元</w:t>
            </w:r>
          </w:p>
        </w:tc>
        <w:tc>
          <w:tcPr>
            <w:tcW w:w="73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pPr>
            <w:r>
              <w:rPr>
                <w:rFonts w:hint="eastAsia"/>
              </w:rPr>
              <w:t>3.阿荣旗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ind w:left="0" w:leftChars="0" w:right="0" w:rightChars="0"/>
              <w:jc w:val="center"/>
              <w:rPr>
                <w:szCs w:val="21"/>
              </w:rPr>
            </w:pPr>
            <w:r>
              <w:rPr>
                <w:szCs w:val="21"/>
              </w:rPr>
              <w:t>ZH15072110003</w:t>
            </w:r>
          </w:p>
        </w:tc>
        <w:tc>
          <w:tcPr>
            <w:tcW w:w="1145" w:type="dxa"/>
            <w:vAlign w:val="center"/>
          </w:tcPr>
          <w:p>
            <w:pPr>
              <w:widowControl/>
              <w:ind w:left="0" w:leftChars="0" w:right="0" w:rightChars="0"/>
              <w:jc w:val="center"/>
              <w:rPr>
                <w:szCs w:val="21"/>
              </w:rPr>
            </w:pPr>
            <w:r>
              <w:rPr>
                <w:szCs w:val="21"/>
              </w:rPr>
              <w:t>阿荣旗自来水公司新区水厂水源地</w:t>
            </w:r>
          </w:p>
        </w:tc>
        <w:tc>
          <w:tcPr>
            <w:tcW w:w="873" w:type="dxa"/>
            <w:vAlign w:val="center"/>
          </w:tcPr>
          <w:p>
            <w:pPr>
              <w:widowControl/>
              <w:ind w:left="0" w:leftChars="0" w:right="0" w:rightChars="0"/>
              <w:jc w:val="center"/>
              <w:rPr>
                <w:szCs w:val="21"/>
              </w:rPr>
            </w:pPr>
            <w:r>
              <w:rPr>
                <w:szCs w:val="21"/>
              </w:rPr>
              <w:t>优先保护单元</w:t>
            </w:r>
          </w:p>
        </w:tc>
        <w:tc>
          <w:tcPr>
            <w:tcW w:w="73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ZH15072110004</w:t>
            </w:r>
          </w:p>
        </w:tc>
        <w:tc>
          <w:tcPr>
            <w:tcW w:w="1145" w:type="dxa"/>
            <w:vAlign w:val="center"/>
          </w:tcPr>
          <w:p>
            <w:pPr>
              <w:widowControl/>
              <w:ind w:left="0" w:leftChars="0" w:right="0" w:rightChars="0"/>
              <w:jc w:val="center"/>
              <w:rPr>
                <w:szCs w:val="21"/>
              </w:rPr>
            </w:pPr>
            <w:r>
              <w:rPr>
                <w:rFonts w:hint="eastAsia"/>
                <w:szCs w:val="21"/>
              </w:rPr>
              <w:t>阿荣旗自来水公司新区水厂饮用水水源地</w:t>
            </w:r>
          </w:p>
        </w:tc>
        <w:tc>
          <w:tcPr>
            <w:tcW w:w="873" w:type="dxa"/>
            <w:vAlign w:val="center"/>
          </w:tcPr>
          <w:p>
            <w:pPr>
              <w:widowControl/>
              <w:ind w:left="0" w:leftChars="0" w:right="0" w:rightChars="0"/>
              <w:jc w:val="center"/>
              <w:rPr>
                <w:szCs w:val="21"/>
              </w:rPr>
            </w:pPr>
            <w:r>
              <w:rPr>
                <w:szCs w:val="21"/>
              </w:rPr>
              <w:t>优先保护单元</w:t>
            </w:r>
          </w:p>
        </w:tc>
        <w:tc>
          <w:tcPr>
            <w:tcW w:w="73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5.在饮用水水源一级保护区内已建成的与供水设施和保护水源无关的建设项目，由旗县级以上人民政府责令拆除或者关闭。</w:t>
            </w:r>
          </w:p>
          <w:p>
            <w:pPr>
              <w:widowControl/>
              <w:ind w:left="0" w:leftChars="0" w:right="0" w:rightChars="0"/>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ZH1507211000</w:t>
            </w:r>
            <w:r>
              <w:rPr>
                <w:rFonts w:hint="eastAsia"/>
                <w:szCs w:val="21"/>
              </w:rPr>
              <w:t>5</w:t>
            </w:r>
          </w:p>
        </w:tc>
        <w:tc>
          <w:tcPr>
            <w:tcW w:w="1145" w:type="dxa"/>
            <w:vAlign w:val="center"/>
          </w:tcPr>
          <w:p>
            <w:pPr>
              <w:widowControl/>
              <w:ind w:left="0" w:leftChars="0" w:right="0" w:rightChars="0"/>
              <w:jc w:val="center"/>
              <w:rPr>
                <w:szCs w:val="21"/>
              </w:rPr>
            </w:pPr>
            <w:r>
              <w:rPr>
                <w:szCs w:val="21"/>
              </w:rPr>
              <w:t>内蒙古索尔奇国家湿地公园</w:t>
            </w:r>
          </w:p>
        </w:tc>
        <w:tc>
          <w:tcPr>
            <w:tcW w:w="873" w:type="dxa"/>
            <w:vAlign w:val="center"/>
          </w:tcPr>
          <w:p>
            <w:pPr>
              <w:widowControl/>
              <w:ind w:left="0" w:leftChars="0" w:right="0" w:rightChars="0"/>
              <w:jc w:val="center"/>
              <w:rPr>
                <w:szCs w:val="21"/>
              </w:rPr>
            </w:pPr>
            <w:r>
              <w:rPr>
                <w:szCs w:val="21"/>
              </w:rPr>
              <w:t>优先保护单元</w:t>
            </w:r>
          </w:p>
        </w:tc>
        <w:tc>
          <w:tcPr>
            <w:tcW w:w="73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widowControl/>
              <w:ind w:left="0" w:leftChars="0" w:right="0" w:rightChars="0"/>
              <w:textAlignment w:val="center"/>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ZH15072110006</w:t>
            </w:r>
          </w:p>
        </w:tc>
        <w:tc>
          <w:tcPr>
            <w:tcW w:w="1145" w:type="dxa"/>
            <w:vAlign w:val="center"/>
          </w:tcPr>
          <w:p>
            <w:pPr>
              <w:widowControl/>
              <w:ind w:left="0" w:leftChars="0" w:right="0" w:rightChars="0"/>
              <w:jc w:val="center"/>
              <w:rPr>
                <w:szCs w:val="21"/>
              </w:rPr>
            </w:pPr>
            <w:r>
              <w:rPr>
                <w:szCs w:val="21"/>
              </w:rPr>
              <w:t>内蒙古图博勒国家森林公园</w:t>
            </w:r>
          </w:p>
        </w:tc>
        <w:tc>
          <w:tcPr>
            <w:tcW w:w="873" w:type="dxa"/>
            <w:vAlign w:val="center"/>
          </w:tcPr>
          <w:p>
            <w:pPr>
              <w:widowControl/>
              <w:ind w:left="0" w:leftChars="0" w:right="0" w:rightChars="0"/>
              <w:jc w:val="center"/>
              <w:rPr>
                <w:szCs w:val="21"/>
              </w:rPr>
            </w:pPr>
            <w:r>
              <w:rPr>
                <w:szCs w:val="21"/>
              </w:rPr>
              <w:t>优先保护单元</w:t>
            </w:r>
          </w:p>
        </w:tc>
        <w:tc>
          <w:tcPr>
            <w:tcW w:w="735"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p>
          <w:p>
            <w:pPr>
              <w:widowControl/>
              <w:ind w:left="0" w:leftChars="0" w:right="0" w:rightChars="0"/>
              <w:textAlignment w:val="cente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restart"/>
            <w:vAlign w:val="center"/>
          </w:tcPr>
          <w:p>
            <w:pPr>
              <w:widowControl/>
              <w:ind w:left="0" w:leftChars="0" w:right="0" w:rightChars="0"/>
              <w:jc w:val="center"/>
              <w:rPr>
                <w:szCs w:val="21"/>
              </w:rPr>
            </w:pPr>
            <w:r>
              <w:rPr>
                <w:rFonts w:hint="eastAsia"/>
                <w:szCs w:val="21"/>
              </w:rPr>
              <w:t>ZH15072120001</w:t>
            </w:r>
          </w:p>
        </w:tc>
        <w:tc>
          <w:tcPr>
            <w:tcW w:w="1145" w:type="dxa"/>
            <w:vMerge w:val="restart"/>
            <w:vAlign w:val="center"/>
          </w:tcPr>
          <w:p>
            <w:pPr>
              <w:widowControl/>
              <w:ind w:left="0" w:leftChars="0" w:right="0" w:rightChars="0"/>
              <w:jc w:val="center"/>
              <w:rPr>
                <w:szCs w:val="21"/>
              </w:rPr>
            </w:pPr>
            <w:r>
              <w:rPr>
                <w:szCs w:val="21"/>
              </w:rPr>
              <w:t>阿荣旗非金属矿</w:t>
            </w:r>
          </w:p>
        </w:tc>
        <w:tc>
          <w:tcPr>
            <w:tcW w:w="873" w:type="dxa"/>
            <w:vMerge w:val="restart"/>
            <w:vAlign w:val="center"/>
          </w:tcPr>
          <w:p>
            <w:pPr>
              <w:widowControl/>
              <w:ind w:left="0" w:leftChars="0" w:right="0" w:rightChars="0"/>
              <w:jc w:val="center"/>
              <w:rPr>
                <w:szCs w:val="21"/>
              </w:rPr>
            </w:pPr>
            <w:r>
              <w:rPr>
                <w:szCs w:val="21"/>
              </w:rPr>
              <w:t>重点管控单元</w:t>
            </w:r>
          </w:p>
        </w:tc>
        <w:tc>
          <w:tcPr>
            <w:tcW w:w="735" w:type="dxa"/>
            <w:vAlign w:val="center"/>
          </w:tcPr>
          <w:p>
            <w:pPr>
              <w:widowControl/>
              <w:ind w:left="0" w:leftChars="0" w:right="0" w:rightChars="0"/>
              <w:jc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rPr>
                <w:kern w:val="0"/>
                <w:sz w:val="20"/>
                <w:szCs w:val="20"/>
                <w:lang w:bidi="ar"/>
              </w:rPr>
            </w:pPr>
            <w:r>
              <w:rPr>
                <w:rFonts w:hint="eastAsia"/>
              </w:rPr>
              <w:t>6</w:t>
            </w:r>
            <w:r>
              <w:t>.执行</w:t>
            </w:r>
            <w:r>
              <w:rPr>
                <w:rFonts w:hint="eastAsia"/>
                <w:kern w:val="0"/>
                <w:szCs w:val="21"/>
                <w:lang w:bidi="ar"/>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5" w:type="dxa"/>
            <w:vMerge w:val="continue"/>
            <w:vAlign w:val="center"/>
          </w:tcPr>
          <w:p>
            <w:pPr>
              <w:widowControl/>
              <w:ind w:left="0" w:leftChars="0" w:right="0" w:rightChars="0"/>
              <w:jc w:val="center"/>
              <w:rPr>
                <w:szCs w:val="21"/>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kern w:val="0"/>
                <w:szCs w:val="21"/>
                <w:lang w:bidi="ar"/>
              </w:rPr>
              <w:t>污染物排放管控</w:t>
            </w:r>
          </w:p>
        </w:tc>
        <w:tc>
          <w:tcPr>
            <w:tcW w:w="5696" w:type="dxa"/>
            <w:vAlign w:val="center"/>
          </w:tcPr>
          <w:p>
            <w:pPr>
              <w:widowControl/>
              <w:ind w:left="0" w:leftChars="0" w:right="0" w:rightChars="0"/>
              <w:textAlignment w:val="center"/>
              <w:rPr>
                <w:szCs w:val="21"/>
              </w:rPr>
            </w:pPr>
            <w:r>
              <w:rPr>
                <w:szCs w:val="21"/>
              </w:rPr>
              <w:t>1.矿产资源勘查以及采选过程中排土场、露天采场、尾矿库、矿区专用道路、矿山工业场地、沉陷区、矸石场、矿山污染场地等的生态环境保护与治理恢复工作须满足</w:t>
            </w:r>
            <w:r>
              <w:t>《矿山生态环境保护与治理恢复技术规范（试行）》</w:t>
            </w:r>
            <w:r>
              <w:rPr>
                <w:szCs w:val="21"/>
              </w:rPr>
              <w:t>（HJ651-2013）要求。落实边开采、边保护、边复垦的要求，使新建、在建矿山损毁土地得到全面复垦。</w:t>
            </w:r>
          </w:p>
          <w:p>
            <w:pPr>
              <w:widowControl/>
              <w:tabs>
                <w:tab w:val="left" w:pos="312"/>
              </w:tabs>
              <w:jc w:val="left"/>
              <w:rPr>
                <w:szCs w:val="21"/>
              </w:rPr>
            </w:pPr>
            <w:r>
              <w:rPr>
                <w:szCs w:val="21"/>
              </w:rPr>
              <w:t>2.生产矿山年度占用土地面积与年度治理面积基本达到平衡，“三废”排放符合环保指标要求。</w:t>
            </w:r>
          </w:p>
          <w:p>
            <w:pPr>
              <w:widowControl/>
              <w:ind w:left="0" w:leftChars="0" w:right="0" w:rightChars="0"/>
              <w:textAlignment w:val="center"/>
              <w:rPr>
                <w:kern w:val="0"/>
                <w:sz w:val="20"/>
                <w:szCs w:val="20"/>
                <w:lang w:bidi="ar"/>
              </w:rPr>
            </w:pPr>
            <w:r>
              <w:rPr>
                <w:szCs w:val="21"/>
              </w:rPr>
              <w:t>3.</w:t>
            </w:r>
            <w:r>
              <w:rPr>
                <w:rFonts w:hint="eastAsia"/>
                <w:szCs w:val="21"/>
              </w:rPr>
              <w:t>矿山开采企业应当加强精细化管理，</w:t>
            </w:r>
            <w:r>
              <w:rPr>
                <w:rFonts w:hint="eastAsia"/>
              </w:rPr>
              <w:t>采取</w:t>
            </w:r>
            <w:r>
              <w:rPr>
                <w:rFonts w:hint="eastAsia"/>
                <w:szCs w:val="21"/>
              </w:rPr>
              <w:t>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5" w:type="dxa"/>
            <w:vMerge w:val="continue"/>
            <w:vAlign w:val="center"/>
          </w:tcPr>
          <w:p>
            <w:pPr>
              <w:widowControl/>
              <w:ind w:left="0" w:leftChars="0" w:right="0" w:rightChars="0"/>
              <w:jc w:val="center"/>
              <w:rPr>
                <w:szCs w:val="21"/>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szCs w:val="21"/>
              </w:rPr>
              <w:t>环境风险防控</w:t>
            </w:r>
          </w:p>
        </w:tc>
        <w:tc>
          <w:tcPr>
            <w:tcW w:w="5696" w:type="dxa"/>
            <w:vAlign w:val="center"/>
          </w:tcPr>
          <w:p>
            <w:pPr>
              <w:widowControl/>
              <w:ind w:left="0" w:leftChars="0" w:right="0" w:rightChars="0"/>
              <w:textAlignment w:val="center"/>
              <w:rPr>
                <w:szCs w:val="21"/>
              </w:rPr>
            </w:pPr>
            <w:r>
              <w:rPr>
                <w:szCs w:val="21"/>
              </w:rPr>
              <w:t>1.制定环境风险应急预案，成立应急组织机构，配备必要的应急设施和应急物资，定期开展环境风险应急</w:t>
            </w:r>
            <w:r>
              <w:t>演练</w:t>
            </w:r>
            <w:r>
              <w:rPr>
                <w:szCs w:val="21"/>
              </w:rPr>
              <w:t>。</w:t>
            </w:r>
          </w:p>
          <w:p>
            <w:pPr>
              <w:widowControl/>
              <w:ind w:left="0" w:leftChars="0" w:right="0" w:rightChars="0"/>
              <w:textAlignment w:val="center"/>
              <w:rPr>
                <w:kern w:val="0"/>
                <w:sz w:val="20"/>
                <w:szCs w:val="20"/>
                <w:lang w:bidi="ar"/>
              </w:rPr>
            </w:pPr>
            <w:r>
              <w:rPr>
                <w:szCs w:val="21"/>
              </w:rP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5" w:type="dxa"/>
            <w:vMerge w:val="continue"/>
            <w:vAlign w:val="center"/>
          </w:tcPr>
          <w:p>
            <w:pPr>
              <w:widowControl/>
              <w:ind w:left="0" w:leftChars="0" w:right="0" w:rightChars="0"/>
              <w:jc w:val="center"/>
              <w:rPr>
                <w:szCs w:val="21"/>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96" w:type="dxa"/>
            <w:vAlign w:val="center"/>
          </w:tcPr>
          <w:p>
            <w:pPr>
              <w:widowControl/>
              <w:jc w:val="left"/>
              <w:rPr>
                <w:kern w:val="0"/>
                <w:sz w:val="20"/>
                <w:szCs w:val="20"/>
                <w:lang w:bidi="ar"/>
              </w:rPr>
            </w:pPr>
            <w:r>
              <w:rPr>
                <w:szCs w:val="21"/>
              </w:rP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restart"/>
            <w:vAlign w:val="center"/>
          </w:tcPr>
          <w:p>
            <w:pPr>
              <w:widowControl/>
              <w:ind w:left="0" w:leftChars="0" w:right="0" w:rightChars="0"/>
              <w:jc w:val="center"/>
              <w:rPr>
                <w:szCs w:val="21"/>
              </w:rPr>
            </w:pPr>
            <w:r>
              <w:rPr>
                <w:kern w:val="0"/>
                <w:szCs w:val="21"/>
                <w:lang w:bidi="ar"/>
              </w:rPr>
              <w:t>ZH15072120002</w:t>
            </w:r>
          </w:p>
        </w:tc>
        <w:tc>
          <w:tcPr>
            <w:tcW w:w="1145" w:type="dxa"/>
            <w:vMerge w:val="restart"/>
            <w:vAlign w:val="center"/>
          </w:tcPr>
          <w:p>
            <w:pPr>
              <w:widowControl/>
              <w:ind w:left="0" w:leftChars="0" w:right="0" w:rightChars="0"/>
              <w:jc w:val="center"/>
              <w:rPr>
                <w:szCs w:val="21"/>
              </w:rPr>
            </w:pPr>
            <w:r>
              <w:rPr>
                <w:kern w:val="0"/>
                <w:szCs w:val="21"/>
                <w:lang w:bidi="ar"/>
              </w:rPr>
              <w:t>阿荣旗城镇空间</w:t>
            </w:r>
          </w:p>
        </w:tc>
        <w:tc>
          <w:tcPr>
            <w:tcW w:w="873" w:type="dxa"/>
            <w:vMerge w:val="restart"/>
            <w:vAlign w:val="center"/>
          </w:tcPr>
          <w:p>
            <w:pPr>
              <w:widowControl/>
              <w:ind w:left="0" w:leftChars="0" w:right="0" w:rightChars="0"/>
              <w:jc w:val="center"/>
              <w:rPr>
                <w:szCs w:val="21"/>
              </w:rPr>
            </w:pPr>
            <w:r>
              <w:rPr>
                <w:szCs w:val="21"/>
              </w:rPr>
              <w:t>重点管控单元</w:t>
            </w:r>
          </w:p>
        </w:tc>
        <w:tc>
          <w:tcPr>
            <w:tcW w:w="735" w:type="dxa"/>
            <w:vAlign w:val="center"/>
          </w:tcPr>
          <w:p>
            <w:pPr>
              <w:widowControl/>
              <w:ind w:left="0" w:leftChars="0" w:right="0" w:rightChars="0"/>
              <w:jc w:val="center"/>
              <w:rPr>
                <w:kern w:val="0"/>
                <w:szCs w:val="21"/>
                <w:lang w:bidi="ar"/>
              </w:rPr>
            </w:pPr>
            <w:r>
              <w:rPr>
                <w:kern w:val="0"/>
                <w:szCs w:val="21"/>
                <w:lang w:bidi="ar"/>
              </w:rPr>
              <w:t>空间布局约束</w:t>
            </w:r>
          </w:p>
        </w:tc>
        <w:tc>
          <w:tcPr>
            <w:tcW w:w="5696" w:type="dxa"/>
            <w:vAlign w:val="center"/>
          </w:tcPr>
          <w:p>
            <w:pPr>
              <w:widowControl/>
              <w:ind w:left="0" w:leftChars="0" w:right="0" w:rightChars="0"/>
              <w:textAlignment w:val="center"/>
              <w:rPr>
                <w:szCs w:val="21"/>
              </w:rPr>
            </w:pPr>
            <w:r>
              <w:t>1.扩大城镇集中供热覆盖范围，加大燃煤小锅炉淘汰力度，鼓励采取太阳能、风能多能互补清洁取暖，旗市区城市建成区原则上不再新建35t/h</w:t>
            </w:r>
            <w:r>
              <w:rPr>
                <w:rFonts w:hint="eastAsia"/>
              </w:rPr>
              <w:t>及</w:t>
            </w:r>
            <w:r>
              <w:t>以下燃煤锅炉。</w:t>
            </w:r>
          </w:p>
          <w:p>
            <w:pPr>
              <w:widowControl/>
              <w:ind w:left="0" w:leftChars="0" w:right="0" w:rightChars="0"/>
              <w:textAlignment w:val="center"/>
              <w:rPr>
                <w:szCs w:val="21"/>
              </w:rPr>
            </w:pPr>
            <w:r>
              <w:rPr>
                <w:szCs w:val="21"/>
              </w:rPr>
              <w:t>2.禁止在居民区和学校、医院、</w:t>
            </w:r>
            <w:r>
              <w:t>疗养院</w:t>
            </w:r>
            <w:r>
              <w:rPr>
                <w:szCs w:val="21"/>
              </w:rPr>
              <w:t>、养老院等单位周边新建、改建、扩建可能造成土壤污染的建设项目。禁止在人口聚居区域内新（改、扩）建涉重金属及恶臭气体排放企业。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5" w:type="dxa"/>
            <w:vMerge w:val="continue"/>
            <w:vAlign w:val="center"/>
          </w:tcPr>
          <w:p>
            <w:pPr>
              <w:widowControl/>
              <w:ind w:left="0" w:leftChars="0" w:right="0" w:rightChars="0"/>
              <w:jc w:val="center"/>
              <w:rPr>
                <w:szCs w:val="21"/>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kern w:val="0"/>
                <w:szCs w:val="21"/>
                <w:lang w:bidi="ar"/>
              </w:rPr>
              <w:t>污染物排放管控</w:t>
            </w:r>
          </w:p>
        </w:tc>
        <w:tc>
          <w:tcPr>
            <w:tcW w:w="5696" w:type="dxa"/>
            <w:vAlign w:val="center"/>
          </w:tcPr>
          <w:p>
            <w:pPr>
              <w:widowControl/>
              <w:ind w:left="0" w:leftChars="0" w:right="0" w:rightChars="0"/>
              <w:textAlignment w:val="center"/>
              <w:rPr>
                <w:szCs w:val="21"/>
              </w:rPr>
            </w:pPr>
            <w:r>
              <w:rPr>
                <w:szCs w:val="21"/>
              </w:rPr>
              <w:t>1.提升城镇生活污水收集管网覆盖率，逐步实施雨污</w:t>
            </w:r>
            <w:r>
              <w:t>管网</w:t>
            </w:r>
            <w:r>
              <w:rPr>
                <w:szCs w:val="21"/>
              </w:rPr>
              <w:t>分流改造、管网更新、破损修复、中水回用等工程。</w:t>
            </w:r>
          </w:p>
          <w:p>
            <w:pPr>
              <w:widowControl/>
              <w:ind w:left="0" w:leftChars="0" w:right="0" w:rightChars="0"/>
              <w:textAlignment w:val="center"/>
              <w:rPr>
                <w:szCs w:val="21"/>
              </w:rPr>
            </w:pPr>
            <w:r>
              <w:rPr>
                <w:szCs w:val="21"/>
              </w:rP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5" w:type="dxa"/>
            <w:vMerge w:val="continue"/>
            <w:vAlign w:val="center"/>
          </w:tcPr>
          <w:p>
            <w:pPr>
              <w:widowControl/>
              <w:ind w:left="0" w:leftChars="0" w:right="0" w:rightChars="0"/>
              <w:jc w:val="center"/>
              <w:rPr>
                <w:szCs w:val="21"/>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96" w:type="dxa"/>
            <w:vAlign w:val="center"/>
          </w:tcPr>
          <w:p>
            <w:pPr>
              <w:widowControl/>
              <w:ind w:left="0" w:leftChars="0" w:right="0" w:rightChars="0"/>
              <w:textAlignment w:val="center"/>
              <w:rPr>
                <w:szCs w:val="21"/>
              </w:rPr>
            </w:pPr>
            <w:r>
              <w:rPr>
                <w:rFonts w:hint="eastAsia"/>
                <w:szCs w:val="21"/>
              </w:rPr>
              <w:t>1.</w:t>
            </w:r>
            <w:r>
              <w:rPr>
                <w:szCs w:val="21"/>
              </w:rPr>
              <w:t>高污染燃料禁燃区内不得新建、扩建、改建使用高污染燃料的项目。禁燃区内现有高污染燃料设施应期限自行淘汰，改用天然气、液化石油气、管道煤气或太阳能、电、专用生物质燃料等清洁能源。</w:t>
            </w:r>
          </w:p>
          <w:p>
            <w:pPr>
              <w:ind w:left="0" w:leftChars="0" w:right="0" w:rightChars="0"/>
              <w:textAlignment w:val="center"/>
              <w:rPr>
                <w:szCs w:val="21"/>
              </w:rP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ZH15072120003</w:t>
            </w:r>
          </w:p>
        </w:tc>
        <w:tc>
          <w:tcPr>
            <w:tcW w:w="1145" w:type="dxa"/>
            <w:vMerge w:val="restart"/>
            <w:vAlign w:val="center"/>
          </w:tcPr>
          <w:p>
            <w:pPr>
              <w:widowControl/>
              <w:ind w:left="0" w:leftChars="0" w:right="0" w:rightChars="0"/>
              <w:jc w:val="center"/>
              <w:rPr>
                <w:szCs w:val="21"/>
              </w:rPr>
            </w:pPr>
            <w:r>
              <w:rPr>
                <w:rFonts w:hint="eastAsia"/>
                <w:szCs w:val="21"/>
              </w:rPr>
              <w:t>阿荣旗大气环境高排放重点管控区</w:t>
            </w:r>
          </w:p>
        </w:tc>
        <w:tc>
          <w:tcPr>
            <w:tcW w:w="873" w:type="dxa"/>
            <w:vMerge w:val="restart"/>
            <w:vAlign w:val="center"/>
          </w:tcPr>
          <w:p>
            <w:pPr>
              <w:widowControl/>
              <w:ind w:left="0" w:leftChars="0" w:right="0" w:rightChars="0"/>
              <w:jc w:val="center"/>
              <w:rPr>
                <w:szCs w:val="21"/>
              </w:rPr>
            </w:pPr>
            <w:r>
              <w:rPr>
                <w:szCs w:val="21"/>
              </w:rPr>
              <w:t>重点管控单元</w:t>
            </w:r>
          </w:p>
        </w:tc>
        <w:tc>
          <w:tcPr>
            <w:tcW w:w="735" w:type="dxa"/>
            <w:vAlign w:val="center"/>
          </w:tcPr>
          <w:p>
            <w:pPr>
              <w:widowControl/>
              <w:ind w:left="0" w:leftChars="0" w:right="0" w:rightChars="0"/>
              <w:jc w:val="center"/>
              <w:rPr>
                <w:kern w:val="0"/>
                <w:szCs w:val="21"/>
                <w:lang w:bidi="ar"/>
              </w:rPr>
            </w:pPr>
            <w:r>
              <w:rPr>
                <w:rFonts w:hint="eastAsia"/>
                <w:szCs w:val="21"/>
              </w:rPr>
              <w:t>空间布局约束</w:t>
            </w:r>
          </w:p>
        </w:tc>
        <w:tc>
          <w:tcPr>
            <w:tcW w:w="5696" w:type="dxa"/>
            <w:vAlign w:val="center"/>
          </w:tcPr>
          <w:p>
            <w:pPr>
              <w:widowControl/>
              <w:ind w:left="0" w:leftChars="0" w:right="0" w:rightChars="0"/>
              <w:textAlignment w:val="center"/>
              <w:rPr>
                <w:szCs w:val="21"/>
              </w:rPr>
            </w:pPr>
            <w:r>
              <w:rPr>
                <w:rFonts w:hint="eastAsia"/>
                <w:szCs w:val="21"/>
              </w:rPr>
              <w:t>1.加大火电、水泥、烧结砖瓦等行业落后产能淘汰和过剩产能压减力度，支持有色、煤炭、建材等传统产业企业加强技术创新、完善工艺流程，促进工业技改投资，推动传统产业行业深度治理和绿色低碳升级改造，实施减污降碳协同治理。巩固提升“散乱污”工业企业治理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szCs w:val="21"/>
              </w:rPr>
            </w:pPr>
          </w:p>
        </w:tc>
        <w:tc>
          <w:tcPr>
            <w:tcW w:w="1145" w:type="dxa"/>
            <w:vMerge w:val="continue"/>
            <w:vAlign w:val="center"/>
          </w:tcPr>
          <w:p>
            <w:pPr>
              <w:widowControl/>
              <w:ind w:left="0" w:leftChars="0" w:right="0" w:rightChars="0"/>
              <w:jc w:val="center"/>
              <w:rPr>
                <w:szCs w:val="21"/>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rFonts w:hint="eastAsia"/>
                <w:szCs w:val="21"/>
              </w:rPr>
              <w:t>污染物排放管控</w:t>
            </w:r>
          </w:p>
        </w:tc>
        <w:tc>
          <w:tcPr>
            <w:tcW w:w="5696" w:type="dxa"/>
            <w:vAlign w:val="center"/>
          </w:tcPr>
          <w:p>
            <w:pPr>
              <w:widowControl/>
              <w:ind w:left="0" w:leftChars="0" w:right="0" w:rightChars="0"/>
              <w:textAlignment w:val="center"/>
              <w:rPr>
                <w:szCs w:val="21"/>
              </w:rPr>
            </w:pPr>
            <w:r>
              <w:rPr>
                <w:rFonts w:hint="eastAsia"/>
                <w:szCs w:val="21"/>
              </w:rPr>
              <w:t>1.严格落实污染物排放总量控制制度，把主要污染物排放总量指标作为环评审批的前置条件。</w:t>
            </w:r>
            <w:r>
              <w:rPr>
                <w:rFonts w:hint="eastAsia"/>
                <w:szCs w:val="21"/>
              </w:rPr>
              <w:br w:type="textWrapping"/>
            </w:r>
            <w:r>
              <w:rPr>
                <w:rFonts w:hint="eastAsia"/>
                <w:szCs w:val="21"/>
              </w:rPr>
              <w:t>2.新建、改扩建项目执行重点污染物特别排放限值。现有项目通过提标升级改造，重点污染物逐步达到特别排放限值。</w:t>
            </w:r>
            <w:r>
              <w:rPr>
                <w:rFonts w:hint="eastAsia"/>
                <w:szCs w:val="21"/>
              </w:rPr>
              <w:br w:type="textWrapping"/>
            </w:r>
            <w:r>
              <w:rPr>
                <w:rFonts w:hint="eastAsia"/>
                <w:szCs w:val="21"/>
              </w:rPr>
              <w:t>3.强化工业企业无组织排放管理。对物料（含废渣）储存、装卸、破碎、运输、转移和工艺过程等无</w:t>
            </w:r>
            <w:r>
              <w:rPr>
                <w:rFonts w:hint="eastAsia"/>
              </w:rPr>
              <w:t>组织</w:t>
            </w:r>
            <w:r>
              <w:rPr>
                <w:rFonts w:hint="eastAsia"/>
                <w:szCs w:val="21"/>
              </w:rPr>
              <w:t>排放实施深度治理。</w:t>
            </w:r>
            <w:r>
              <w:rPr>
                <w:rFonts w:hint="eastAsia"/>
                <w:szCs w:val="21"/>
              </w:rPr>
              <w:br w:type="textWrapping"/>
            </w:r>
            <w:r>
              <w:rPr>
                <w:rFonts w:hint="eastAsia"/>
                <w:szCs w:val="21"/>
              </w:rPr>
              <w:t>4.状物料（含废渣）和易起尘的块状物料必须进行全封闭，密闭储存；其他块状物料必须入棚入仓或建设防风抑尘网，安装抑尘设施。</w:t>
            </w:r>
            <w:r>
              <w:rPr>
                <w:rFonts w:hint="eastAsia"/>
                <w:szCs w:val="21"/>
              </w:rPr>
              <w:br w:type="textWrapping"/>
            </w:r>
            <w:r>
              <w:rPr>
                <w:rFonts w:hint="eastAsia"/>
                <w:szCs w:val="21"/>
              </w:rPr>
              <w:t>5.所有粉煤灰、电石渣等固废堆场要严格落实抑尘措施。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5" w:type="dxa"/>
            <w:vMerge w:val="continue"/>
            <w:vAlign w:val="center"/>
          </w:tcPr>
          <w:p>
            <w:pPr>
              <w:widowControl/>
              <w:ind w:left="0" w:leftChars="0" w:right="0" w:rightChars="0"/>
              <w:jc w:val="center"/>
              <w:rPr>
                <w:szCs w:val="21"/>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rFonts w:hint="eastAsia"/>
                <w:szCs w:val="21"/>
              </w:rPr>
              <w:t>资源开发效率</w:t>
            </w:r>
          </w:p>
        </w:tc>
        <w:tc>
          <w:tcPr>
            <w:tcW w:w="5696" w:type="dxa"/>
            <w:vAlign w:val="center"/>
          </w:tcPr>
          <w:p>
            <w:pPr>
              <w:ind w:left="0" w:leftChars="0" w:right="0" w:rightChars="0"/>
              <w:textAlignment w:val="center"/>
              <w:rPr>
                <w:szCs w:val="21"/>
              </w:rPr>
            </w:pPr>
            <w:r>
              <w:rPr>
                <w:rFonts w:hint="eastAsia"/>
                <w:szCs w:val="21"/>
              </w:rPr>
              <w:t>推进能耗强度和总量“双控”，狠抓工业领域节能管理。优化能源产业结构，逐步提高新能源装机比重，煤炭占能源消费总量比重逐年下降。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eastAsia="宋体"/>
                <w:kern w:val="0"/>
                <w:szCs w:val="21"/>
                <w:lang w:bidi="ar"/>
              </w:rPr>
              <w:t>ZH15072120004</w:t>
            </w:r>
          </w:p>
        </w:tc>
        <w:tc>
          <w:tcPr>
            <w:tcW w:w="1145" w:type="dxa"/>
            <w:vMerge w:val="restart"/>
            <w:vAlign w:val="center"/>
          </w:tcPr>
          <w:p>
            <w:pPr>
              <w:widowControl/>
              <w:ind w:left="0" w:leftChars="0" w:right="0" w:rightChars="0"/>
              <w:jc w:val="center"/>
              <w:rPr>
                <w:szCs w:val="21"/>
              </w:rPr>
            </w:pPr>
            <w:r>
              <w:rPr>
                <w:kern w:val="0"/>
                <w:szCs w:val="21"/>
                <w:lang w:bidi="ar"/>
              </w:rPr>
              <w:t>内蒙古呼伦贝尔岭东农畜林产品开发区阿荣旗产业园</w:t>
            </w:r>
          </w:p>
        </w:tc>
        <w:tc>
          <w:tcPr>
            <w:tcW w:w="873" w:type="dxa"/>
            <w:vMerge w:val="restart"/>
            <w:vAlign w:val="center"/>
          </w:tcPr>
          <w:p>
            <w:pPr>
              <w:widowControl/>
              <w:ind w:left="0" w:leftChars="0" w:right="0" w:rightChars="0"/>
              <w:jc w:val="center"/>
              <w:rPr>
                <w:szCs w:val="21"/>
              </w:rPr>
            </w:pPr>
            <w:r>
              <w:rPr>
                <w:szCs w:val="21"/>
              </w:rPr>
              <w:t>重点管控单元</w:t>
            </w:r>
          </w:p>
        </w:tc>
        <w:tc>
          <w:tcPr>
            <w:tcW w:w="735" w:type="dxa"/>
            <w:vAlign w:val="center"/>
          </w:tcPr>
          <w:p>
            <w:pPr>
              <w:widowControl/>
              <w:ind w:left="0" w:leftChars="0" w:right="0" w:rightChars="0"/>
              <w:jc w:val="center"/>
              <w:rPr>
                <w:kern w:val="0"/>
                <w:szCs w:val="21"/>
                <w:lang w:bidi="ar"/>
              </w:rPr>
            </w:pPr>
            <w:r>
              <w:rPr>
                <w:kern w:val="0"/>
                <w:szCs w:val="21"/>
                <w:lang w:bidi="ar"/>
              </w:rPr>
              <w:t>空间布局约束</w:t>
            </w:r>
          </w:p>
        </w:tc>
        <w:tc>
          <w:tcPr>
            <w:tcW w:w="5696" w:type="dxa"/>
            <w:vAlign w:val="center"/>
          </w:tcPr>
          <w:p>
            <w:pPr>
              <w:ind w:left="0" w:leftChars="0" w:right="0" w:rightChars="0"/>
              <w:textAlignment w:val="center"/>
              <w:rPr>
                <w:szCs w:val="21"/>
              </w:rPr>
            </w:pPr>
            <w:r>
              <w:rPr>
                <w:szCs w:val="21"/>
              </w:rPr>
              <w:t>1.国家明令淘汰的落后产能和不符合国家产业政策的项目，禁止向园区转移。</w:t>
            </w:r>
          </w:p>
          <w:p>
            <w:pPr>
              <w:ind w:left="0" w:leftChars="0" w:right="0" w:rightChars="0"/>
              <w:textAlignment w:val="center"/>
              <w:rPr>
                <w:szCs w:val="21"/>
              </w:rPr>
            </w:pPr>
            <w:r>
              <w:rPr>
                <w:kern w:val="0"/>
                <w:szCs w:val="21"/>
                <w:lang w:bidi="ar"/>
              </w:rPr>
              <w:t>2.</w:t>
            </w:r>
            <w:r>
              <w:rPr>
                <w:lang w:bidi="ar"/>
              </w:rPr>
              <w:t>居住用地周边严控布局潜在污染扰民和环境风险突出的建设项目。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rFonts w:eastAsia="宋体"/>
                <w:kern w:val="0"/>
                <w:szCs w:val="21"/>
                <w:lang w:bidi="ar"/>
              </w:rPr>
            </w:pPr>
          </w:p>
        </w:tc>
        <w:tc>
          <w:tcPr>
            <w:tcW w:w="1145" w:type="dxa"/>
            <w:vMerge w:val="continue"/>
            <w:vAlign w:val="center"/>
          </w:tcPr>
          <w:p>
            <w:pPr>
              <w:widowControl/>
              <w:ind w:left="0" w:leftChars="0" w:right="0" w:rightChars="0"/>
              <w:jc w:val="center"/>
              <w:rPr>
                <w:kern w:val="0"/>
                <w:szCs w:val="21"/>
                <w:lang w:bidi="ar"/>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kern w:val="0"/>
                <w:szCs w:val="21"/>
                <w:lang w:bidi="ar"/>
              </w:rPr>
              <w:t>污染物排放管控</w:t>
            </w:r>
          </w:p>
        </w:tc>
        <w:tc>
          <w:tcPr>
            <w:tcW w:w="5696" w:type="dxa"/>
            <w:vAlign w:val="center"/>
          </w:tcPr>
          <w:p>
            <w:pPr>
              <w:ind w:left="0" w:leftChars="0" w:right="0" w:rightChars="0"/>
              <w:textAlignment w:val="center"/>
              <w:rPr>
                <w:kern w:val="0"/>
                <w:szCs w:val="21"/>
                <w:lang w:bidi="ar"/>
              </w:rPr>
            </w:pPr>
            <w:r>
              <w:rPr>
                <w:kern w:val="0"/>
                <w:szCs w:val="21"/>
                <w:lang w:bidi="ar"/>
              </w:rPr>
              <w:t>1.新建排放重金属污染物的建设项目全面执行重金属重点污染物特别排放限值。</w:t>
            </w:r>
          </w:p>
          <w:p>
            <w:pPr>
              <w:ind w:left="0" w:leftChars="0" w:right="0" w:rightChars="0"/>
              <w:textAlignment w:val="center"/>
              <w:rPr>
                <w:szCs w:val="21"/>
              </w:rPr>
            </w:pPr>
            <w:r>
              <w:rPr>
                <w:kern w:val="0"/>
                <w:szCs w:val="21"/>
                <w:lang w:bidi="ar"/>
              </w:rPr>
              <w:t>2.园区企业应采用空冷等节水方式，减少高浓度含盐水产生量。反渗透装置水回收率不得低于95%，处理后的高浓度含盐水优先考虑综合利用。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rFonts w:eastAsia="宋体"/>
                <w:kern w:val="0"/>
                <w:szCs w:val="21"/>
                <w:lang w:bidi="ar"/>
              </w:rPr>
            </w:pPr>
          </w:p>
        </w:tc>
        <w:tc>
          <w:tcPr>
            <w:tcW w:w="1145" w:type="dxa"/>
            <w:vMerge w:val="continue"/>
            <w:vAlign w:val="center"/>
          </w:tcPr>
          <w:p>
            <w:pPr>
              <w:widowControl/>
              <w:ind w:left="0" w:leftChars="0" w:right="0" w:rightChars="0"/>
              <w:jc w:val="center"/>
              <w:rPr>
                <w:kern w:val="0"/>
                <w:szCs w:val="21"/>
                <w:lang w:bidi="ar"/>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kern w:val="0"/>
                <w:szCs w:val="21"/>
                <w:lang w:bidi="ar"/>
              </w:rPr>
            </w:pPr>
            <w:r>
              <w:rPr>
                <w:szCs w:val="21"/>
              </w:rPr>
              <w:t>环境风险防控</w:t>
            </w:r>
          </w:p>
        </w:tc>
        <w:tc>
          <w:tcPr>
            <w:tcW w:w="5696" w:type="dxa"/>
            <w:vAlign w:val="center"/>
          </w:tcPr>
          <w:p>
            <w:pPr>
              <w:ind w:left="0" w:leftChars="0" w:right="0" w:rightChars="0"/>
              <w:textAlignment w:val="center"/>
              <w:rPr>
                <w:kern w:val="0"/>
                <w:szCs w:val="21"/>
                <w:lang w:bidi="ar"/>
              </w:rPr>
            </w:pPr>
            <w:r>
              <w:rPr>
                <w:kern w:val="0"/>
                <w:szCs w:val="21"/>
                <w:lang w:bidi="ar"/>
              </w:rPr>
              <w:t>1.应在园区与主城区、阿伦河、周边居民集中片区之间设立合理的防护隔离带，有效防范环境污染和事故风险。</w:t>
            </w:r>
          </w:p>
          <w:p>
            <w:pPr>
              <w:ind w:left="0" w:leftChars="0" w:right="0" w:rightChars="0"/>
              <w:textAlignment w:val="center"/>
              <w:rPr>
                <w:kern w:val="0"/>
                <w:szCs w:val="21"/>
                <w:lang w:bidi="ar"/>
              </w:rPr>
            </w:pPr>
            <w:r>
              <w:rPr>
                <w:lang w:bidi="ar"/>
              </w:rPr>
              <w:t>2.重点防范化工行业危险化学品的泄漏事故、火灾事故，园区应建立三级应急救援体系。针对主要保护目标编制基地环境风险应急预案，重点危险化学品使用、生产企业应编制企业环境事故应急处置预案。园区应落实环境风险防范措施，做好风险防护距离的管理，落实园区事故水池建设，防止发生环境污染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rFonts w:eastAsia="宋体"/>
                <w:kern w:val="0"/>
                <w:szCs w:val="21"/>
                <w:lang w:bidi="ar"/>
              </w:rPr>
            </w:pPr>
          </w:p>
        </w:tc>
        <w:tc>
          <w:tcPr>
            <w:tcW w:w="1145" w:type="dxa"/>
            <w:vMerge w:val="continue"/>
            <w:vAlign w:val="center"/>
          </w:tcPr>
          <w:p>
            <w:pPr>
              <w:widowControl/>
              <w:ind w:left="0" w:leftChars="0" w:right="0" w:rightChars="0"/>
              <w:jc w:val="center"/>
              <w:rPr>
                <w:kern w:val="0"/>
                <w:szCs w:val="21"/>
                <w:lang w:bidi="ar"/>
              </w:rPr>
            </w:pPr>
          </w:p>
        </w:tc>
        <w:tc>
          <w:tcPr>
            <w:tcW w:w="873" w:type="dxa"/>
            <w:vMerge w:val="continue"/>
            <w:vAlign w:val="center"/>
          </w:tcPr>
          <w:p>
            <w:pPr>
              <w:widowControl/>
              <w:ind w:left="0" w:leftChars="0" w:right="0" w:rightChars="0"/>
              <w:jc w:val="center"/>
              <w:rPr>
                <w:szCs w:val="21"/>
              </w:rPr>
            </w:pPr>
          </w:p>
        </w:tc>
        <w:tc>
          <w:tcPr>
            <w:tcW w:w="735" w:type="dxa"/>
            <w:vAlign w:val="center"/>
          </w:tcPr>
          <w:p>
            <w:pPr>
              <w:widowControl/>
              <w:ind w:left="0" w:leftChars="0" w:right="0" w:rightChars="0"/>
              <w:jc w:val="center"/>
              <w:rPr>
                <w:szCs w:val="21"/>
              </w:rPr>
            </w:pPr>
            <w:r>
              <w:rPr>
                <w:kern w:val="0"/>
                <w:szCs w:val="21"/>
                <w:lang w:bidi="ar"/>
              </w:rPr>
              <w:t>资源利用效率要求</w:t>
            </w:r>
          </w:p>
        </w:tc>
        <w:tc>
          <w:tcPr>
            <w:tcW w:w="5696" w:type="dxa"/>
            <w:vAlign w:val="center"/>
          </w:tcPr>
          <w:p>
            <w:pPr>
              <w:ind w:left="0" w:leftChars="0" w:right="0" w:rightChars="0"/>
              <w:textAlignment w:val="center"/>
            </w:pPr>
            <w:r>
              <w:rPr>
                <w:szCs w:val="22"/>
              </w:rPr>
              <w:t>1.新、改、扩建的高耗水工业项目，禁止擅自使用地下水。优先配置</w:t>
            </w:r>
            <w:r>
              <w:t>利用中水和疏干水等作为生产水源；具备使用非常规水源条件的园区，限期关闭企业生产用地下水自备水井。</w:t>
            </w:r>
          </w:p>
          <w:p>
            <w:pPr>
              <w:ind w:left="0" w:leftChars="0" w:right="0" w:rightChars="0"/>
              <w:textAlignment w:val="center"/>
              <w:rPr>
                <w:kern w:val="0"/>
                <w:szCs w:val="21"/>
                <w:lang w:bidi="ar"/>
              </w:rPr>
            </w:pPr>
            <w:r>
              <w:t>2.实行地下水取用水总量控制和水位控制制度。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kern w:val="0"/>
                <w:szCs w:val="21"/>
                <w:lang w:bidi="ar"/>
              </w:rPr>
            </w:pPr>
            <w:r>
              <w:rPr>
                <w:kern w:val="0"/>
                <w:szCs w:val="21"/>
                <w:lang w:bidi="ar"/>
              </w:rPr>
              <w:t>ZH15072130001</w:t>
            </w:r>
          </w:p>
        </w:tc>
        <w:tc>
          <w:tcPr>
            <w:tcW w:w="1145" w:type="dxa"/>
            <w:vAlign w:val="center"/>
          </w:tcPr>
          <w:p>
            <w:pPr>
              <w:widowControl/>
              <w:ind w:left="0" w:leftChars="0" w:right="0" w:rightChars="0"/>
              <w:jc w:val="center"/>
              <w:rPr>
                <w:kern w:val="0"/>
                <w:szCs w:val="21"/>
                <w:lang w:bidi="ar"/>
              </w:rPr>
            </w:pPr>
            <w:r>
              <w:rPr>
                <w:kern w:val="0"/>
                <w:szCs w:val="21"/>
                <w:lang w:bidi="ar"/>
              </w:rPr>
              <w:t>阿荣旗一般管控单元</w:t>
            </w:r>
          </w:p>
        </w:tc>
        <w:tc>
          <w:tcPr>
            <w:tcW w:w="873" w:type="dxa"/>
            <w:vAlign w:val="center"/>
          </w:tcPr>
          <w:p>
            <w:pPr>
              <w:widowControl/>
              <w:ind w:left="0" w:leftChars="0" w:right="0" w:rightChars="0"/>
              <w:jc w:val="center"/>
              <w:rPr>
                <w:szCs w:val="21"/>
              </w:rPr>
            </w:pPr>
            <w:r>
              <w:rPr>
                <w:szCs w:val="21"/>
              </w:rPr>
              <w:t>一般管控单元</w:t>
            </w:r>
          </w:p>
        </w:tc>
        <w:tc>
          <w:tcPr>
            <w:tcW w:w="735" w:type="dxa"/>
            <w:vAlign w:val="center"/>
          </w:tcPr>
          <w:p>
            <w:pPr>
              <w:widowControl/>
              <w:ind w:left="0" w:leftChars="0" w:right="0" w:rightChars="0"/>
              <w:jc w:val="center"/>
              <w:rPr>
                <w:kern w:val="0"/>
                <w:szCs w:val="21"/>
                <w:lang w:bidi="ar"/>
              </w:rPr>
            </w:pPr>
            <w:r>
              <w:rPr>
                <w:kern w:val="0"/>
                <w:szCs w:val="21"/>
                <w:lang w:bidi="ar"/>
              </w:rPr>
              <w:t>空间布局约束</w:t>
            </w:r>
          </w:p>
        </w:tc>
        <w:tc>
          <w:tcPr>
            <w:tcW w:w="5696" w:type="dxa"/>
            <w:vAlign w:val="center"/>
          </w:tcPr>
          <w:p>
            <w:pPr>
              <w:ind w:left="0" w:leftChars="0"/>
              <w:rPr>
                <w:szCs w:val="21"/>
              </w:rPr>
            </w:pPr>
            <w:r>
              <w:rPr>
                <w:szCs w:val="21"/>
              </w:rP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ind w:left="0" w:leftChars="0"/>
              <w:rPr>
                <w:szCs w:val="21"/>
              </w:rPr>
            </w:pPr>
            <w:r>
              <w:rPr>
                <w:szCs w:val="21"/>
              </w:rP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bookmarkEnd w:id="38"/>
    <w:bookmarkEnd w:id="39"/>
    <w:bookmarkEnd w:id="40"/>
    <w:bookmarkEnd w:id="41"/>
    <w:p>
      <w:pPr>
        <w:pStyle w:val="4"/>
        <w:ind w:left="0" w:leftChars="0" w:right="0" w:rightChars="0"/>
        <w:rPr>
          <w:rFonts w:ascii="Times New Roman" w:hAnsi="Times New Roman" w:eastAsia="仿宋_GB2312"/>
        </w:rPr>
      </w:pPr>
      <w:bookmarkStart w:id="49" w:name="_Toc142233284"/>
      <w:r>
        <w:rPr>
          <w:rFonts w:ascii="Times New Roman" w:hAnsi="Times New Roman" w:eastAsia="仿宋_GB2312"/>
        </w:rPr>
        <w:t>（八）呼伦贝尔市莫力达瓦达斡尔族自治旗生态环境准入清单</w:t>
      </w:r>
      <w:bookmarkEnd w:id="49"/>
    </w:p>
    <w:p>
      <w:pPr>
        <w:adjustRightInd/>
        <w:snapToGrid/>
        <w:spacing w:line="500" w:lineRule="exact"/>
        <w:ind w:left="0" w:leftChars="0" w:right="0" w:rightChars="0"/>
        <w:jc w:val="center"/>
        <w:rPr>
          <w:b/>
          <w:bCs/>
          <w:sz w:val="28"/>
          <w:szCs w:val="28"/>
        </w:rPr>
      </w:pPr>
      <w:r>
        <w:rPr>
          <w:b/>
          <w:bCs/>
          <w:sz w:val="28"/>
          <w:szCs w:val="28"/>
        </w:rPr>
        <w:t>表8呼伦贝尔市莫力达瓦达斡尔族自治旗生态环境准入清单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644"/>
        <w:gridCol w:w="1343"/>
        <w:gridCol w:w="1089"/>
        <w:gridCol w:w="8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103" w:type="dxa"/>
            <w:vAlign w:val="center"/>
          </w:tcPr>
          <w:p>
            <w:pPr>
              <w:widowControl/>
              <w:ind w:left="0" w:leftChars="0" w:right="0" w:rightChars="0"/>
              <w:jc w:val="center"/>
              <w:rPr>
                <w:b/>
                <w:bCs/>
                <w:szCs w:val="21"/>
              </w:rPr>
            </w:pPr>
            <w:r>
              <w:rPr>
                <w:b/>
                <w:bCs/>
                <w:szCs w:val="21"/>
              </w:rPr>
              <w:t>环境管控单元编码</w:t>
            </w:r>
          </w:p>
        </w:tc>
        <w:tc>
          <w:tcPr>
            <w:tcW w:w="1100" w:type="dxa"/>
            <w:vAlign w:val="center"/>
          </w:tcPr>
          <w:p>
            <w:pPr>
              <w:widowControl/>
              <w:ind w:left="0" w:leftChars="0" w:right="0" w:rightChars="0"/>
              <w:jc w:val="center"/>
              <w:rPr>
                <w:b/>
                <w:bCs/>
                <w:szCs w:val="21"/>
              </w:rPr>
            </w:pPr>
            <w:r>
              <w:rPr>
                <w:b/>
                <w:bCs/>
                <w:szCs w:val="21"/>
              </w:rPr>
              <w:t>环境管控单元名称</w:t>
            </w:r>
          </w:p>
        </w:tc>
        <w:tc>
          <w:tcPr>
            <w:tcW w:w="899" w:type="dxa"/>
            <w:vAlign w:val="center"/>
          </w:tcPr>
          <w:p>
            <w:pPr>
              <w:widowControl/>
              <w:ind w:left="0" w:leftChars="0" w:right="0" w:rightChars="0"/>
              <w:jc w:val="center"/>
              <w:rPr>
                <w:b/>
                <w:bCs/>
                <w:szCs w:val="21"/>
              </w:rPr>
            </w:pPr>
            <w:r>
              <w:rPr>
                <w:b/>
                <w:bCs/>
                <w:szCs w:val="21"/>
              </w:rPr>
              <w:t>管控单元类别</w:t>
            </w:r>
          </w:p>
        </w:tc>
        <w:tc>
          <w:tcPr>
            <w:tcW w:w="6383"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b/>
                <w:bCs/>
                <w:szCs w:val="21"/>
              </w:rPr>
            </w:pPr>
            <w:r>
              <w:rPr>
                <w:rFonts w:hint="eastAsia"/>
                <w:szCs w:val="21"/>
              </w:rPr>
              <w:t>ZH15072210001</w:t>
            </w:r>
          </w:p>
        </w:tc>
        <w:tc>
          <w:tcPr>
            <w:tcW w:w="1100" w:type="dxa"/>
            <w:vAlign w:val="center"/>
          </w:tcPr>
          <w:p>
            <w:pPr>
              <w:widowControl/>
              <w:ind w:left="0" w:leftChars="0" w:right="0" w:rightChars="0"/>
              <w:jc w:val="center"/>
              <w:rPr>
                <w:b/>
                <w:bCs/>
                <w:szCs w:val="21"/>
              </w:rPr>
            </w:pPr>
            <w:r>
              <w:rPr>
                <w:rFonts w:hint="eastAsia"/>
                <w:szCs w:val="21"/>
              </w:rPr>
              <w:t>莫力达瓦达斡尔族自治旗尼尔基镇二水源饮用水水源地</w:t>
            </w:r>
          </w:p>
        </w:tc>
        <w:tc>
          <w:tcPr>
            <w:tcW w:w="899" w:type="dxa"/>
            <w:vAlign w:val="center"/>
          </w:tcPr>
          <w:p>
            <w:pPr>
              <w:widowControl/>
              <w:ind w:left="0" w:leftChars="0" w:right="0" w:rightChars="0"/>
              <w:jc w:val="center"/>
              <w:rPr>
                <w:b/>
                <w:bCs/>
                <w:szCs w:val="21"/>
              </w:rPr>
            </w:pPr>
            <w:r>
              <w:rPr>
                <w:szCs w:val="21"/>
              </w:rPr>
              <w:t>优先保护单元</w:t>
            </w:r>
          </w:p>
        </w:tc>
        <w:tc>
          <w:tcPr>
            <w:tcW w:w="729"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5.在饮用水水源一级保护区内已建成的与供水设施和保护水源无关的建设项目，由旗县级以上人民政府责令拆除或者关闭。</w:t>
            </w:r>
          </w:p>
          <w:p>
            <w:pPr>
              <w:widowControl/>
              <w:ind w:left="0" w:leftChars="0" w:right="0" w:rightChars="0"/>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szCs w:val="21"/>
              </w:rPr>
            </w:pPr>
            <w:r>
              <w:rPr>
                <w:rFonts w:hint="eastAsia"/>
                <w:szCs w:val="21"/>
              </w:rPr>
              <w:t>ZH15072210002</w:t>
            </w:r>
          </w:p>
        </w:tc>
        <w:tc>
          <w:tcPr>
            <w:tcW w:w="1100" w:type="dxa"/>
            <w:vAlign w:val="center"/>
          </w:tcPr>
          <w:p>
            <w:pPr>
              <w:widowControl/>
              <w:ind w:left="0" w:leftChars="0" w:right="0" w:rightChars="0"/>
              <w:jc w:val="center"/>
              <w:rPr>
                <w:szCs w:val="21"/>
              </w:rPr>
            </w:pPr>
            <w:r>
              <w:rPr>
                <w:rFonts w:hint="eastAsia"/>
                <w:szCs w:val="21"/>
              </w:rPr>
              <w:t>莫力达瓦达斡尔族自治水源涵养生态功能重要区</w:t>
            </w:r>
          </w:p>
        </w:tc>
        <w:tc>
          <w:tcPr>
            <w:tcW w:w="899" w:type="dxa"/>
            <w:vAlign w:val="center"/>
          </w:tcPr>
          <w:p>
            <w:pPr>
              <w:widowControl/>
              <w:ind w:left="0" w:leftChars="0" w:right="0" w:rightChars="0"/>
              <w:jc w:val="center"/>
              <w:rPr>
                <w:szCs w:val="21"/>
              </w:rPr>
            </w:pPr>
            <w:r>
              <w:rPr>
                <w:szCs w:val="21"/>
              </w:rPr>
              <w:t>优先保护单元</w:t>
            </w:r>
          </w:p>
        </w:tc>
        <w:tc>
          <w:tcPr>
            <w:tcW w:w="729"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pPr>
            <w:r>
              <w:rPr>
                <w:rFonts w:hint="eastAsia"/>
              </w:rPr>
              <w:t>3.莫力达瓦达斡尔族自治水源涵养生态功能重要区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szCs w:val="21"/>
              </w:rPr>
            </w:pPr>
            <w:r>
              <w:rPr>
                <w:rFonts w:hint="eastAsia"/>
                <w:szCs w:val="21"/>
              </w:rPr>
              <w:t>ZH15072210003</w:t>
            </w:r>
          </w:p>
        </w:tc>
        <w:tc>
          <w:tcPr>
            <w:tcW w:w="1100" w:type="dxa"/>
            <w:vAlign w:val="center"/>
          </w:tcPr>
          <w:p>
            <w:pPr>
              <w:widowControl/>
              <w:ind w:left="0" w:leftChars="0" w:right="0" w:rightChars="0"/>
              <w:jc w:val="center"/>
              <w:rPr>
                <w:szCs w:val="21"/>
              </w:rPr>
            </w:pPr>
            <w:r>
              <w:rPr>
                <w:rFonts w:hint="eastAsia"/>
                <w:szCs w:val="21"/>
              </w:rPr>
              <w:t>呼伦贝尔市东部嫩江水源涵养生态保护红线</w:t>
            </w:r>
          </w:p>
        </w:tc>
        <w:tc>
          <w:tcPr>
            <w:tcW w:w="899" w:type="dxa"/>
            <w:vAlign w:val="center"/>
          </w:tcPr>
          <w:p>
            <w:pPr>
              <w:widowControl/>
              <w:ind w:left="0" w:leftChars="0" w:right="0" w:rightChars="0"/>
              <w:jc w:val="center"/>
              <w:rPr>
                <w:szCs w:val="21"/>
              </w:rPr>
            </w:pPr>
            <w:r>
              <w:rPr>
                <w:szCs w:val="21"/>
              </w:rPr>
              <w:t>优先保护单元</w:t>
            </w:r>
          </w:p>
        </w:tc>
        <w:tc>
          <w:tcPr>
            <w:tcW w:w="729"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pPr>
            <w:r>
              <w:rPr>
                <w:rFonts w:hint="eastAsia"/>
              </w:rPr>
              <w:t>3.在生态保护红线内的有限人为活动管理要求按照《自然资源部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szCs w:val="21"/>
              </w:rPr>
            </w:pPr>
            <w:r>
              <w:rPr>
                <w:rFonts w:hint="eastAsia"/>
                <w:szCs w:val="21"/>
              </w:rPr>
              <w:t>ZH15072210004</w:t>
            </w:r>
          </w:p>
        </w:tc>
        <w:tc>
          <w:tcPr>
            <w:tcW w:w="1100" w:type="dxa"/>
            <w:vAlign w:val="center"/>
          </w:tcPr>
          <w:p>
            <w:pPr>
              <w:widowControl/>
              <w:ind w:left="0" w:leftChars="0" w:right="0" w:rightChars="0"/>
              <w:jc w:val="center"/>
              <w:rPr>
                <w:szCs w:val="21"/>
              </w:rPr>
            </w:pPr>
            <w:r>
              <w:rPr>
                <w:rFonts w:hint="eastAsia"/>
                <w:szCs w:val="21"/>
              </w:rPr>
              <w:t>莫力达瓦达斡尔族自治旗尼尔基镇二水源饮用水水源地</w:t>
            </w:r>
          </w:p>
        </w:tc>
        <w:tc>
          <w:tcPr>
            <w:tcW w:w="899" w:type="dxa"/>
            <w:vAlign w:val="center"/>
          </w:tcPr>
          <w:p>
            <w:pPr>
              <w:widowControl/>
              <w:ind w:left="0" w:leftChars="0" w:right="0" w:rightChars="0"/>
              <w:jc w:val="center"/>
              <w:rPr>
                <w:szCs w:val="21"/>
              </w:rPr>
            </w:pPr>
            <w:r>
              <w:rPr>
                <w:szCs w:val="21"/>
              </w:rPr>
              <w:t>优先保护单元</w:t>
            </w:r>
          </w:p>
        </w:tc>
        <w:tc>
          <w:tcPr>
            <w:tcW w:w="729"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5.在饮用水水源一级保护区内已建成的与供水设施和保护水源无关的建设项目，由旗县级以上人民政府责令拆除或者关闭。</w:t>
            </w:r>
          </w:p>
          <w:p>
            <w:pPr>
              <w:widowControl/>
              <w:ind w:left="0" w:leftChars="0" w:right="0" w:rightChars="0"/>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szCs w:val="21"/>
              </w:rPr>
            </w:pPr>
            <w:r>
              <w:rPr>
                <w:szCs w:val="21"/>
              </w:rPr>
              <w:t>ZH15072210005</w:t>
            </w:r>
          </w:p>
        </w:tc>
        <w:tc>
          <w:tcPr>
            <w:tcW w:w="1100" w:type="dxa"/>
            <w:vAlign w:val="center"/>
          </w:tcPr>
          <w:p>
            <w:pPr>
              <w:widowControl/>
              <w:ind w:left="0" w:leftChars="0" w:right="0" w:rightChars="0"/>
              <w:jc w:val="center"/>
              <w:rPr>
                <w:szCs w:val="21"/>
              </w:rPr>
            </w:pPr>
            <w:r>
              <w:rPr>
                <w:szCs w:val="21"/>
              </w:rPr>
              <w:t>内蒙古莫力达瓦巴彦国家湿地公园</w:t>
            </w:r>
          </w:p>
        </w:tc>
        <w:tc>
          <w:tcPr>
            <w:tcW w:w="899" w:type="dxa"/>
            <w:vAlign w:val="center"/>
          </w:tcPr>
          <w:p>
            <w:pPr>
              <w:widowControl/>
              <w:ind w:left="0" w:leftChars="0" w:right="0" w:rightChars="0"/>
              <w:jc w:val="center"/>
              <w:rPr>
                <w:szCs w:val="21"/>
              </w:rPr>
            </w:pPr>
            <w:r>
              <w:rPr>
                <w:szCs w:val="21"/>
              </w:rPr>
              <w:t>优先保护单元</w:t>
            </w:r>
          </w:p>
        </w:tc>
        <w:tc>
          <w:tcPr>
            <w:tcW w:w="729"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jc w:val="left"/>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jc w:val="left"/>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szCs w:val="21"/>
              </w:rPr>
            </w:pPr>
            <w:r>
              <w:rPr>
                <w:rFonts w:hint="eastAsia"/>
              </w:rPr>
              <w:t>ZH15072210006</w:t>
            </w:r>
          </w:p>
        </w:tc>
        <w:tc>
          <w:tcPr>
            <w:tcW w:w="1100" w:type="dxa"/>
            <w:vAlign w:val="center"/>
          </w:tcPr>
          <w:p>
            <w:pPr>
              <w:widowControl/>
              <w:ind w:left="0" w:leftChars="0" w:right="0" w:rightChars="0"/>
              <w:jc w:val="center"/>
              <w:rPr>
                <w:szCs w:val="21"/>
              </w:rPr>
            </w:pPr>
            <w:r>
              <w:rPr>
                <w:szCs w:val="21"/>
              </w:rPr>
              <w:t>内蒙古莫力达瓦达斡尔族自治旗欧肯河自治区湿地公园</w:t>
            </w:r>
          </w:p>
        </w:tc>
        <w:tc>
          <w:tcPr>
            <w:tcW w:w="899" w:type="dxa"/>
            <w:vAlign w:val="center"/>
          </w:tcPr>
          <w:p>
            <w:pPr>
              <w:widowControl/>
              <w:ind w:left="0" w:leftChars="0" w:right="0" w:rightChars="0"/>
              <w:jc w:val="center"/>
              <w:rPr>
                <w:szCs w:val="21"/>
              </w:rPr>
            </w:pPr>
            <w:r>
              <w:rPr>
                <w:szCs w:val="21"/>
              </w:rPr>
              <w:t>优先保护单元</w:t>
            </w:r>
          </w:p>
        </w:tc>
        <w:tc>
          <w:tcPr>
            <w:tcW w:w="729"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jc w:val="left"/>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jc w:val="left"/>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restart"/>
            <w:vAlign w:val="center"/>
          </w:tcPr>
          <w:p>
            <w:pPr>
              <w:widowControl/>
              <w:ind w:left="0" w:leftChars="0" w:right="0" w:rightChars="0"/>
              <w:jc w:val="center"/>
              <w:rPr>
                <w:szCs w:val="21"/>
              </w:rPr>
            </w:pPr>
            <w:r>
              <w:rPr>
                <w:rFonts w:hint="eastAsia"/>
                <w:szCs w:val="21"/>
              </w:rPr>
              <w:t>ZH15072220002</w:t>
            </w:r>
          </w:p>
        </w:tc>
        <w:tc>
          <w:tcPr>
            <w:tcW w:w="1100" w:type="dxa"/>
            <w:vMerge w:val="restart"/>
            <w:vAlign w:val="center"/>
          </w:tcPr>
          <w:p>
            <w:pPr>
              <w:widowControl/>
              <w:ind w:left="0" w:leftChars="0" w:right="0" w:rightChars="0"/>
              <w:jc w:val="center"/>
              <w:rPr>
                <w:szCs w:val="21"/>
              </w:rPr>
            </w:pPr>
            <w:r>
              <w:rPr>
                <w:rFonts w:hint="eastAsia"/>
                <w:szCs w:val="21"/>
              </w:rPr>
              <w:t>莫力达瓦达斡尔</w:t>
            </w:r>
            <w:r>
              <w:rPr>
                <w:rFonts w:hint="eastAsia"/>
                <w:szCs w:val="21"/>
                <w:lang w:eastAsia="zh-CN"/>
              </w:rPr>
              <w:t>族</w:t>
            </w:r>
            <w:r>
              <w:rPr>
                <w:rFonts w:hint="eastAsia"/>
                <w:szCs w:val="21"/>
              </w:rPr>
              <w:t>自治旗莫力达瓦达斡尔族自治旗非金属矿</w:t>
            </w:r>
          </w:p>
        </w:tc>
        <w:tc>
          <w:tcPr>
            <w:tcW w:w="899" w:type="dxa"/>
            <w:vMerge w:val="restart"/>
            <w:vAlign w:val="center"/>
          </w:tcPr>
          <w:p>
            <w:pPr>
              <w:widowControl/>
              <w:ind w:left="0" w:leftChars="0" w:right="0" w:rightChars="0"/>
              <w:jc w:val="center"/>
              <w:rPr>
                <w:szCs w:val="21"/>
              </w:rPr>
            </w:pPr>
            <w:r>
              <w:rPr>
                <w:szCs w:val="21"/>
              </w:rPr>
              <w:t>重点管控单元</w:t>
            </w:r>
          </w:p>
        </w:tc>
        <w:tc>
          <w:tcPr>
            <w:tcW w:w="729" w:type="dxa"/>
            <w:vAlign w:val="center"/>
          </w:tcPr>
          <w:p>
            <w:pPr>
              <w:widowControl/>
              <w:ind w:left="0" w:leftChars="0" w:right="0" w:rightChars="0"/>
              <w:jc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szCs w:val="21"/>
              </w:rPr>
            </w:pPr>
          </w:p>
        </w:tc>
        <w:tc>
          <w:tcPr>
            <w:tcW w:w="1100" w:type="dxa"/>
            <w:vMerge w:val="continue"/>
            <w:vAlign w:val="center"/>
          </w:tcPr>
          <w:p>
            <w:pPr>
              <w:widowControl/>
              <w:ind w:left="0" w:leftChars="0" w:right="0" w:rightChars="0"/>
              <w:jc w:val="center"/>
              <w:rPr>
                <w:szCs w:val="21"/>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kern w:val="0"/>
                <w:szCs w:val="21"/>
                <w:lang w:bidi="ar"/>
              </w:rPr>
              <w:t>污染物排放管控</w:t>
            </w:r>
          </w:p>
        </w:tc>
        <w:tc>
          <w:tcPr>
            <w:tcW w:w="5654"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szCs w:val="21"/>
              </w:rPr>
            </w:pPr>
          </w:p>
        </w:tc>
        <w:tc>
          <w:tcPr>
            <w:tcW w:w="1100" w:type="dxa"/>
            <w:vMerge w:val="continue"/>
            <w:vAlign w:val="center"/>
          </w:tcPr>
          <w:p>
            <w:pPr>
              <w:widowControl/>
              <w:ind w:left="0" w:leftChars="0" w:right="0" w:rightChars="0"/>
              <w:jc w:val="center"/>
              <w:rPr>
                <w:szCs w:val="21"/>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szCs w:val="21"/>
              </w:rPr>
              <w:t>环境风险防控</w:t>
            </w:r>
          </w:p>
        </w:tc>
        <w:tc>
          <w:tcPr>
            <w:tcW w:w="5654"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szCs w:val="21"/>
              </w:rPr>
            </w:pPr>
          </w:p>
        </w:tc>
        <w:tc>
          <w:tcPr>
            <w:tcW w:w="1100" w:type="dxa"/>
            <w:vMerge w:val="continue"/>
            <w:vAlign w:val="center"/>
          </w:tcPr>
          <w:p>
            <w:pPr>
              <w:widowControl/>
              <w:ind w:left="0" w:leftChars="0" w:right="0" w:rightChars="0"/>
              <w:jc w:val="center"/>
              <w:rPr>
                <w:szCs w:val="21"/>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4"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restart"/>
            <w:vAlign w:val="center"/>
          </w:tcPr>
          <w:p>
            <w:pPr>
              <w:widowControl/>
              <w:ind w:left="0" w:leftChars="0" w:right="0" w:rightChars="0"/>
              <w:jc w:val="center"/>
              <w:rPr>
                <w:szCs w:val="21"/>
              </w:rPr>
            </w:pPr>
            <w:r>
              <w:rPr>
                <w:szCs w:val="21"/>
              </w:rPr>
              <w:t>ZH1507222000</w:t>
            </w:r>
            <w:r>
              <w:rPr>
                <w:rFonts w:hint="eastAsia"/>
                <w:szCs w:val="21"/>
              </w:rPr>
              <w:t>3</w:t>
            </w:r>
          </w:p>
        </w:tc>
        <w:tc>
          <w:tcPr>
            <w:tcW w:w="1100" w:type="dxa"/>
            <w:vMerge w:val="restart"/>
            <w:vAlign w:val="center"/>
          </w:tcPr>
          <w:p>
            <w:pPr>
              <w:widowControl/>
              <w:ind w:left="0" w:leftChars="0" w:right="0" w:rightChars="0"/>
              <w:jc w:val="center"/>
              <w:rPr>
                <w:szCs w:val="21"/>
              </w:rPr>
            </w:pPr>
            <w:r>
              <w:rPr>
                <w:rFonts w:hint="eastAsia"/>
                <w:szCs w:val="21"/>
              </w:rPr>
              <w:t>莫力达瓦达斡尔</w:t>
            </w:r>
            <w:r>
              <w:rPr>
                <w:rFonts w:hint="eastAsia"/>
                <w:szCs w:val="21"/>
                <w:lang w:eastAsia="zh-CN"/>
              </w:rPr>
              <w:t>族</w:t>
            </w:r>
            <w:bookmarkStart w:id="56" w:name="_GoBack"/>
            <w:bookmarkEnd w:id="56"/>
            <w:r>
              <w:rPr>
                <w:rFonts w:hint="eastAsia"/>
                <w:szCs w:val="21"/>
              </w:rPr>
              <w:t>自治旗莫力达瓦达斡尔族自治旗煤矿</w:t>
            </w:r>
          </w:p>
        </w:tc>
        <w:tc>
          <w:tcPr>
            <w:tcW w:w="899" w:type="dxa"/>
            <w:vMerge w:val="restart"/>
            <w:vAlign w:val="center"/>
          </w:tcPr>
          <w:p>
            <w:pPr>
              <w:widowControl/>
              <w:ind w:left="0" w:leftChars="0" w:right="0" w:rightChars="0"/>
              <w:jc w:val="center"/>
              <w:rPr>
                <w:szCs w:val="21"/>
              </w:rPr>
            </w:pPr>
            <w:r>
              <w:rPr>
                <w:szCs w:val="21"/>
              </w:rPr>
              <w:t>重点管控单元</w:t>
            </w:r>
          </w:p>
        </w:tc>
        <w:tc>
          <w:tcPr>
            <w:tcW w:w="729" w:type="dxa"/>
            <w:vAlign w:val="center"/>
          </w:tcPr>
          <w:p>
            <w:pPr>
              <w:widowControl/>
              <w:ind w:left="0" w:leftChars="0" w:right="0" w:rightChars="0"/>
              <w:jc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szCs w:val="21"/>
              </w:rPr>
            </w:pPr>
          </w:p>
        </w:tc>
        <w:tc>
          <w:tcPr>
            <w:tcW w:w="1100" w:type="dxa"/>
            <w:vMerge w:val="continue"/>
            <w:vAlign w:val="center"/>
          </w:tcPr>
          <w:p>
            <w:pPr>
              <w:widowControl/>
              <w:ind w:left="0" w:leftChars="0" w:right="0" w:rightChars="0"/>
              <w:jc w:val="center"/>
              <w:rPr>
                <w:szCs w:val="21"/>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kern w:val="0"/>
                <w:szCs w:val="21"/>
                <w:lang w:bidi="ar"/>
              </w:rPr>
              <w:t>污染物排放管控</w:t>
            </w:r>
          </w:p>
        </w:tc>
        <w:tc>
          <w:tcPr>
            <w:tcW w:w="5654"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szCs w:val="21"/>
              </w:rPr>
            </w:pPr>
          </w:p>
        </w:tc>
        <w:tc>
          <w:tcPr>
            <w:tcW w:w="1100" w:type="dxa"/>
            <w:vMerge w:val="continue"/>
            <w:vAlign w:val="center"/>
          </w:tcPr>
          <w:p>
            <w:pPr>
              <w:widowControl/>
              <w:ind w:left="0" w:leftChars="0" w:right="0" w:rightChars="0"/>
              <w:jc w:val="center"/>
              <w:rPr>
                <w:szCs w:val="21"/>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szCs w:val="21"/>
              </w:rPr>
              <w:t>环境风险防控</w:t>
            </w:r>
          </w:p>
        </w:tc>
        <w:tc>
          <w:tcPr>
            <w:tcW w:w="5654"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szCs w:val="21"/>
              </w:rPr>
            </w:pPr>
          </w:p>
        </w:tc>
        <w:tc>
          <w:tcPr>
            <w:tcW w:w="1100" w:type="dxa"/>
            <w:vMerge w:val="continue"/>
            <w:vAlign w:val="center"/>
          </w:tcPr>
          <w:p>
            <w:pPr>
              <w:widowControl/>
              <w:ind w:left="0" w:leftChars="0" w:right="0" w:rightChars="0"/>
              <w:jc w:val="center"/>
              <w:rPr>
                <w:szCs w:val="21"/>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4"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restart"/>
            <w:vAlign w:val="center"/>
          </w:tcPr>
          <w:p>
            <w:pPr>
              <w:widowControl/>
              <w:ind w:left="0" w:leftChars="0" w:right="0" w:rightChars="0"/>
              <w:jc w:val="center"/>
              <w:rPr>
                <w:kern w:val="0"/>
                <w:szCs w:val="21"/>
                <w:lang w:bidi="ar"/>
              </w:rPr>
            </w:pPr>
            <w:r>
              <w:rPr>
                <w:kern w:val="0"/>
                <w:szCs w:val="21"/>
                <w:lang w:bidi="ar"/>
              </w:rPr>
              <w:t>ZH15072220001</w:t>
            </w:r>
          </w:p>
        </w:tc>
        <w:tc>
          <w:tcPr>
            <w:tcW w:w="1100" w:type="dxa"/>
            <w:vMerge w:val="restart"/>
            <w:vAlign w:val="center"/>
          </w:tcPr>
          <w:p>
            <w:pPr>
              <w:widowControl/>
              <w:ind w:left="0" w:leftChars="0" w:right="0" w:rightChars="0"/>
              <w:jc w:val="center"/>
              <w:rPr>
                <w:kern w:val="0"/>
                <w:szCs w:val="21"/>
                <w:lang w:bidi="ar"/>
              </w:rPr>
            </w:pPr>
            <w:r>
              <w:rPr>
                <w:kern w:val="0"/>
                <w:szCs w:val="21"/>
                <w:lang w:bidi="ar"/>
              </w:rPr>
              <w:t>莫力达瓦达斡尔族自治旗城镇空间</w:t>
            </w:r>
          </w:p>
        </w:tc>
        <w:tc>
          <w:tcPr>
            <w:tcW w:w="899" w:type="dxa"/>
            <w:vMerge w:val="restart"/>
            <w:vAlign w:val="center"/>
          </w:tcPr>
          <w:p>
            <w:pPr>
              <w:widowControl/>
              <w:ind w:left="0" w:leftChars="0" w:right="0" w:rightChars="0"/>
              <w:jc w:val="center"/>
              <w:rPr>
                <w:szCs w:val="21"/>
              </w:rPr>
            </w:pPr>
            <w:r>
              <w:rPr>
                <w:szCs w:val="21"/>
              </w:rPr>
              <w:t>重点管控单元</w:t>
            </w:r>
          </w:p>
        </w:tc>
        <w:tc>
          <w:tcPr>
            <w:tcW w:w="729" w:type="dxa"/>
            <w:vAlign w:val="center"/>
          </w:tcPr>
          <w:p>
            <w:pPr>
              <w:widowControl/>
              <w:ind w:left="0" w:leftChars="0" w:right="0" w:rightChars="0"/>
              <w:jc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1.扩大城镇集中供热覆盖范围，加大燃煤小锅炉淘汰力度，鼓励采取太阳能、风能多能互补清洁取暖，旗市区城市建成区原则上不再新建35t/h</w:t>
            </w:r>
            <w:r>
              <w:rPr>
                <w:rFonts w:hint="eastAsia"/>
              </w:rPr>
              <w:t>及</w:t>
            </w:r>
            <w:r>
              <w:t>以下燃煤锅炉。</w:t>
            </w:r>
          </w:p>
          <w:p>
            <w:pPr>
              <w:widowControl/>
              <w:ind w:left="0" w:leftChars="0" w:right="0" w:rightChars="0"/>
              <w:textAlignment w:val="center"/>
            </w:pPr>
            <w: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kern w:val="0"/>
                <w:szCs w:val="21"/>
                <w:lang w:bidi="ar"/>
              </w:rPr>
            </w:pPr>
          </w:p>
        </w:tc>
        <w:tc>
          <w:tcPr>
            <w:tcW w:w="1100" w:type="dxa"/>
            <w:vMerge w:val="continue"/>
            <w:vAlign w:val="center"/>
          </w:tcPr>
          <w:p>
            <w:pPr>
              <w:widowControl/>
              <w:ind w:left="0" w:leftChars="0" w:right="0" w:rightChars="0"/>
              <w:jc w:val="center"/>
              <w:rPr>
                <w:kern w:val="0"/>
                <w:szCs w:val="21"/>
                <w:lang w:bidi="ar"/>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kern w:val="0"/>
                <w:szCs w:val="21"/>
                <w:lang w:bidi="ar"/>
              </w:rPr>
              <w:t>污染物排放管控</w:t>
            </w:r>
          </w:p>
        </w:tc>
        <w:tc>
          <w:tcPr>
            <w:tcW w:w="5654" w:type="dxa"/>
            <w:vAlign w:val="center"/>
          </w:tcPr>
          <w:p>
            <w:pPr>
              <w:widowControl/>
              <w:ind w:left="0" w:leftChars="0" w:right="0" w:rightChars="0"/>
              <w:textAlignment w:val="center"/>
            </w:pPr>
            <w:r>
              <w:t>1.提升城镇生活污水收集管网覆盖率，逐步实施雨污管网分流改造、管网更新、破损修复、中水回用等工程。</w:t>
            </w:r>
          </w:p>
          <w:p>
            <w:pPr>
              <w:widowControl/>
              <w:ind w:left="0" w:leftChars="0" w:right="0" w:rightChars="0"/>
              <w:textAlignment w:val="center"/>
            </w:pPr>
            <w: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Merge w:val="continue"/>
            <w:vAlign w:val="center"/>
          </w:tcPr>
          <w:p>
            <w:pPr>
              <w:widowControl/>
              <w:ind w:left="0" w:leftChars="0" w:right="0" w:rightChars="0"/>
              <w:jc w:val="center"/>
              <w:rPr>
                <w:kern w:val="0"/>
                <w:szCs w:val="21"/>
                <w:lang w:bidi="ar"/>
              </w:rPr>
            </w:pPr>
          </w:p>
        </w:tc>
        <w:tc>
          <w:tcPr>
            <w:tcW w:w="1100" w:type="dxa"/>
            <w:vMerge w:val="continue"/>
            <w:vAlign w:val="center"/>
          </w:tcPr>
          <w:p>
            <w:pPr>
              <w:widowControl/>
              <w:ind w:left="0" w:leftChars="0" w:right="0" w:rightChars="0"/>
              <w:jc w:val="center"/>
              <w:rPr>
                <w:kern w:val="0"/>
                <w:szCs w:val="21"/>
                <w:lang w:bidi="ar"/>
              </w:rPr>
            </w:pPr>
          </w:p>
        </w:tc>
        <w:tc>
          <w:tcPr>
            <w:tcW w:w="899" w:type="dxa"/>
            <w:vMerge w:val="continue"/>
            <w:vAlign w:val="center"/>
          </w:tcPr>
          <w:p>
            <w:pPr>
              <w:widowControl/>
              <w:ind w:left="0" w:leftChars="0" w:right="0" w:rightChars="0"/>
              <w:jc w:val="center"/>
              <w:rPr>
                <w:szCs w:val="21"/>
              </w:rPr>
            </w:pPr>
          </w:p>
        </w:tc>
        <w:tc>
          <w:tcPr>
            <w:tcW w:w="729"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4" w:type="dxa"/>
            <w:vAlign w:val="center"/>
          </w:tcPr>
          <w:p>
            <w:pPr>
              <w:widowControl/>
              <w:ind w:left="0" w:leftChars="0" w:right="0" w:rightChars="0"/>
              <w:textAlignment w:val="center"/>
            </w:pPr>
            <w:r>
              <w:rPr>
                <w:rFonts w:hint="eastAsia"/>
              </w:rPr>
              <w:t>1.</w:t>
            </w:r>
            <w:r>
              <w:t>高污染燃料禁燃区不得新建、扩建高污染燃料燃用设施，不得将其他燃料燃用设施改造为高污染燃料燃用设施。高污染燃料销售单位应按照要求逐步取消禁燃区内的销售网点。对于现有的高污染燃料燃用设施，有关单位和个人应当按照规定予以拆除或者改用电、天然气等清洁能源。对逾期继续使用高污染燃料的，按照有关法律、法规规定予以处罚。</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03" w:type="dxa"/>
            <w:vAlign w:val="center"/>
          </w:tcPr>
          <w:p>
            <w:pPr>
              <w:widowControl/>
              <w:ind w:left="0" w:leftChars="0" w:right="0" w:rightChars="0"/>
              <w:jc w:val="center"/>
              <w:rPr>
                <w:kern w:val="0"/>
                <w:szCs w:val="21"/>
                <w:lang w:bidi="ar"/>
              </w:rPr>
            </w:pPr>
            <w:r>
              <w:rPr>
                <w:kern w:val="0"/>
                <w:szCs w:val="21"/>
                <w:lang w:bidi="ar"/>
              </w:rPr>
              <w:t>ZH15072230001</w:t>
            </w:r>
          </w:p>
        </w:tc>
        <w:tc>
          <w:tcPr>
            <w:tcW w:w="1100" w:type="dxa"/>
            <w:vAlign w:val="center"/>
          </w:tcPr>
          <w:p>
            <w:pPr>
              <w:widowControl/>
              <w:ind w:left="0" w:leftChars="0" w:right="0" w:rightChars="0"/>
              <w:jc w:val="center"/>
              <w:rPr>
                <w:kern w:val="0"/>
                <w:szCs w:val="21"/>
                <w:lang w:bidi="ar"/>
              </w:rPr>
            </w:pPr>
            <w:r>
              <w:rPr>
                <w:kern w:val="0"/>
                <w:szCs w:val="21"/>
                <w:lang w:bidi="ar"/>
              </w:rPr>
              <w:t>莫力达瓦达斡尔族自治旗一般管控单元</w:t>
            </w:r>
          </w:p>
        </w:tc>
        <w:tc>
          <w:tcPr>
            <w:tcW w:w="899" w:type="dxa"/>
            <w:vAlign w:val="center"/>
          </w:tcPr>
          <w:p>
            <w:pPr>
              <w:widowControl/>
              <w:ind w:left="0" w:leftChars="0" w:right="0" w:rightChars="0"/>
              <w:jc w:val="center"/>
              <w:rPr>
                <w:szCs w:val="21"/>
              </w:rPr>
            </w:pPr>
            <w:r>
              <w:rPr>
                <w:szCs w:val="21"/>
              </w:rPr>
              <w:t>一般管控单元</w:t>
            </w:r>
          </w:p>
        </w:tc>
        <w:tc>
          <w:tcPr>
            <w:tcW w:w="729" w:type="dxa"/>
            <w:vAlign w:val="center"/>
          </w:tcPr>
          <w:p>
            <w:pPr>
              <w:widowControl/>
              <w:ind w:left="0" w:leftChars="0" w:right="0" w:rightChars="0"/>
              <w:jc w:val="center"/>
              <w:rPr>
                <w:kern w:val="0"/>
                <w:szCs w:val="21"/>
                <w:lang w:bidi="ar"/>
              </w:rPr>
            </w:pPr>
            <w:r>
              <w:rPr>
                <w:kern w:val="0"/>
                <w:szCs w:val="21"/>
                <w:lang w:bidi="ar"/>
              </w:rPr>
              <w:t>空间布局约束</w:t>
            </w:r>
          </w:p>
        </w:tc>
        <w:tc>
          <w:tcPr>
            <w:tcW w:w="5654" w:type="dxa"/>
            <w:vAlign w:val="center"/>
          </w:tcPr>
          <w:p>
            <w:pPr>
              <w:widowControl/>
              <w:ind w:left="0" w:leftChars="0" w:right="0" w:rightChars="0"/>
              <w:textAlignment w:val="center"/>
            </w:pPr>
            <w: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pPr>
            <w: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50" w:name="_Toc142233285"/>
      <w:r>
        <w:rPr>
          <w:rFonts w:ascii="Times New Roman" w:hAnsi="Times New Roman" w:eastAsia="仿宋_GB2312"/>
        </w:rPr>
        <w:t>（九）呼伦贝尔市鄂伦春自治旗生态环境准入清单</w:t>
      </w:r>
      <w:bookmarkEnd w:id="50"/>
    </w:p>
    <w:p>
      <w:pPr>
        <w:adjustRightInd/>
        <w:snapToGrid/>
        <w:spacing w:line="500" w:lineRule="exact"/>
        <w:ind w:left="0" w:leftChars="0" w:right="0" w:rightChars="0"/>
        <w:jc w:val="center"/>
        <w:rPr>
          <w:b/>
          <w:bCs/>
          <w:sz w:val="28"/>
          <w:szCs w:val="28"/>
        </w:rPr>
      </w:pPr>
      <w:r>
        <w:rPr>
          <w:b/>
          <w:bCs/>
          <w:sz w:val="28"/>
          <w:szCs w:val="28"/>
        </w:rPr>
        <w:t>表9呼伦贝尔市鄂伦春自治旗生态环境准入清单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671"/>
        <w:gridCol w:w="1361"/>
        <w:gridCol w:w="1006"/>
        <w:gridCol w:w="8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118" w:type="dxa"/>
            <w:vAlign w:val="center"/>
          </w:tcPr>
          <w:p>
            <w:pPr>
              <w:widowControl/>
              <w:ind w:left="0" w:leftChars="0" w:right="0" w:rightChars="0"/>
              <w:jc w:val="center"/>
              <w:rPr>
                <w:b/>
                <w:bCs/>
                <w:szCs w:val="21"/>
              </w:rPr>
            </w:pPr>
            <w:r>
              <w:rPr>
                <w:b/>
                <w:bCs/>
                <w:szCs w:val="21"/>
              </w:rPr>
              <w:t>环境管控单元名称</w:t>
            </w:r>
          </w:p>
        </w:tc>
        <w:tc>
          <w:tcPr>
            <w:tcW w:w="911" w:type="dxa"/>
            <w:vAlign w:val="center"/>
          </w:tcPr>
          <w:p>
            <w:pPr>
              <w:widowControl/>
              <w:ind w:left="0" w:leftChars="0" w:right="0" w:rightChars="0"/>
              <w:jc w:val="center"/>
              <w:rPr>
                <w:b/>
                <w:bCs/>
                <w:szCs w:val="21"/>
              </w:rPr>
            </w:pPr>
            <w:r>
              <w:rPr>
                <w:b/>
                <w:bCs/>
                <w:szCs w:val="21"/>
              </w:rPr>
              <w:t>管控单元类别</w:t>
            </w:r>
          </w:p>
        </w:tc>
        <w:tc>
          <w:tcPr>
            <w:tcW w:w="6383"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ZH15072310001</w:t>
            </w:r>
          </w:p>
        </w:tc>
        <w:tc>
          <w:tcPr>
            <w:tcW w:w="1118" w:type="dxa"/>
            <w:vAlign w:val="center"/>
          </w:tcPr>
          <w:p>
            <w:pPr>
              <w:widowControl/>
              <w:ind w:left="0" w:leftChars="0" w:right="0" w:rightChars="0"/>
              <w:jc w:val="center"/>
              <w:rPr>
                <w:szCs w:val="21"/>
              </w:rPr>
            </w:pPr>
            <w:r>
              <w:rPr>
                <w:rFonts w:hint="eastAsia"/>
                <w:szCs w:val="21"/>
              </w:rPr>
              <w:t>鄂伦春自治旗阿里河镇北饮用水水源地</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szCs w:val="21"/>
              </w:rPr>
            </w:pPr>
            <w:r>
              <w:rPr>
                <w:kern w:val="0"/>
                <w:szCs w:val="21"/>
                <w:lang w:bidi="ar"/>
              </w:rPr>
              <w:t>空间布局约束</w:t>
            </w:r>
          </w:p>
        </w:tc>
        <w:tc>
          <w:tcPr>
            <w:tcW w:w="5710"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bottom"/>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ZH15072310002</w:t>
            </w:r>
          </w:p>
        </w:tc>
        <w:tc>
          <w:tcPr>
            <w:tcW w:w="1118" w:type="dxa"/>
            <w:vAlign w:val="center"/>
          </w:tcPr>
          <w:p>
            <w:pPr>
              <w:widowControl/>
              <w:ind w:left="0" w:leftChars="0" w:right="0" w:rightChars="0"/>
              <w:jc w:val="center"/>
              <w:rPr>
                <w:szCs w:val="21"/>
              </w:rPr>
            </w:pPr>
            <w:r>
              <w:rPr>
                <w:szCs w:val="21"/>
              </w:rPr>
              <w:t>鄂伦春自治旗水源涵养生态功能重要区域</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rPr>
                <w:kern w:val="0"/>
                <w:sz w:val="20"/>
                <w:szCs w:val="20"/>
                <w:lang w:bidi="ar"/>
              </w:rPr>
            </w:pPr>
            <w:r>
              <w:rPr>
                <w:rFonts w:hint="eastAsia"/>
                <w:szCs w:val="21"/>
              </w:rPr>
              <w:t>3.鄂伦春自治旗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ZH15072310003</w:t>
            </w:r>
          </w:p>
        </w:tc>
        <w:tc>
          <w:tcPr>
            <w:tcW w:w="1118" w:type="dxa"/>
            <w:vAlign w:val="center"/>
          </w:tcPr>
          <w:p>
            <w:pPr>
              <w:widowControl/>
              <w:ind w:left="0" w:leftChars="0" w:right="0" w:rightChars="0"/>
              <w:jc w:val="center"/>
              <w:rPr>
                <w:szCs w:val="21"/>
              </w:rPr>
            </w:pPr>
            <w:r>
              <w:rPr>
                <w:szCs w:val="21"/>
              </w:rPr>
              <w:t>内蒙古奎勒河自治区级自然保护区</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ZH15072310004</w:t>
            </w:r>
          </w:p>
        </w:tc>
        <w:tc>
          <w:tcPr>
            <w:tcW w:w="1118" w:type="dxa"/>
            <w:vAlign w:val="center"/>
          </w:tcPr>
          <w:p>
            <w:pPr>
              <w:widowControl/>
              <w:ind w:left="0" w:leftChars="0" w:right="0" w:rightChars="0"/>
              <w:jc w:val="center"/>
              <w:rPr>
                <w:szCs w:val="21"/>
              </w:rPr>
            </w:pPr>
            <w:r>
              <w:rPr>
                <w:rFonts w:hint="eastAsia"/>
                <w:szCs w:val="21"/>
              </w:rPr>
              <w:t>内蒙古乌尔旗汉国家森林公园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ZH15072310005</w:t>
            </w:r>
          </w:p>
        </w:tc>
        <w:tc>
          <w:tcPr>
            <w:tcW w:w="1118" w:type="dxa"/>
            <w:vAlign w:val="center"/>
          </w:tcPr>
          <w:p>
            <w:pPr>
              <w:widowControl/>
              <w:ind w:left="0" w:leftChars="0" w:right="0" w:rightChars="0"/>
              <w:jc w:val="center"/>
              <w:rPr>
                <w:szCs w:val="21"/>
              </w:rPr>
            </w:pPr>
            <w:r>
              <w:rPr>
                <w:rFonts w:hint="eastAsia"/>
                <w:szCs w:val="21"/>
              </w:rPr>
              <w:t>大兴安岭水源涵养和生物多样性维护生态保护红线</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jc w:val="left"/>
              <w:textAlignment w:val="center"/>
            </w:pPr>
            <w:r>
              <w:t>2.禁止新建高水资源消耗产业；</w:t>
            </w:r>
          </w:p>
          <w:p>
            <w:pPr>
              <w:pStyle w:val="2"/>
              <w:ind w:left="0" w:leftChars="0" w:firstLine="0"/>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jc w:val="left"/>
              <w:textAlignment w:val="center"/>
            </w:pPr>
            <w:r>
              <w:t>4.禁止生物多样性维护生态功能区的林纸一体化产业发展</w:t>
            </w:r>
            <w:r>
              <w:rPr>
                <w:rFonts w:hint="eastAsia"/>
              </w:rPr>
              <w:t>；</w:t>
            </w:r>
          </w:p>
          <w:p>
            <w:pPr>
              <w:widowControl/>
              <w:ind w:left="0" w:leftChars="0" w:right="0" w:rightChars="0"/>
              <w:textAlignment w:val="cente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ZH15072310006</w:t>
            </w:r>
          </w:p>
        </w:tc>
        <w:tc>
          <w:tcPr>
            <w:tcW w:w="1118" w:type="dxa"/>
            <w:vAlign w:val="center"/>
          </w:tcPr>
          <w:p>
            <w:pPr>
              <w:widowControl/>
              <w:ind w:left="0" w:leftChars="0" w:right="0" w:rightChars="0"/>
              <w:jc w:val="center"/>
              <w:rPr>
                <w:szCs w:val="21"/>
              </w:rPr>
            </w:pPr>
            <w:r>
              <w:rPr>
                <w:rFonts w:hint="eastAsia"/>
                <w:szCs w:val="21"/>
              </w:rPr>
              <w:t>鄂伦春自治旗阿里河镇北饮用水水源地</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5.在饮用水水源一级保护区内已建成的与供水设施和保护水源无关的建设项目，由旗县级以上人民政府责令拆除或者关闭。</w:t>
            </w:r>
          </w:p>
          <w:p>
            <w:pPr>
              <w:widowControl/>
              <w:ind w:left="0" w:leftChars="0" w:right="0" w:rightChars="0"/>
              <w:jc w:val="left"/>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ZH15072310007</w:t>
            </w:r>
          </w:p>
        </w:tc>
        <w:tc>
          <w:tcPr>
            <w:tcW w:w="1118" w:type="dxa"/>
            <w:vAlign w:val="center"/>
          </w:tcPr>
          <w:p>
            <w:pPr>
              <w:widowControl/>
              <w:ind w:left="0" w:leftChars="0" w:right="0" w:rightChars="0"/>
              <w:jc w:val="center"/>
              <w:rPr>
                <w:szCs w:val="21"/>
              </w:rPr>
            </w:pPr>
            <w:r>
              <w:rPr>
                <w:szCs w:val="21"/>
              </w:rPr>
              <w:t>内蒙古阿里河国家森林公园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jc w:val="left"/>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ZH15072310008</w:t>
            </w:r>
          </w:p>
        </w:tc>
        <w:tc>
          <w:tcPr>
            <w:tcW w:w="1118" w:type="dxa"/>
            <w:vAlign w:val="center"/>
          </w:tcPr>
          <w:p>
            <w:pPr>
              <w:widowControl/>
              <w:ind w:left="0" w:leftChars="0" w:right="0" w:rightChars="0"/>
              <w:jc w:val="center"/>
              <w:rPr>
                <w:szCs w:val="21"/>
              </w:rPr>
            </w:pPr>
            <w:r>
              <w:rPr>
                <w:rFonts w:hint="eastAsia"/>
                <w:szCs w:val="21"/>
              </w:rPr>
              <w:t>内蒙古毕拉河百湖谷自治区湿地公园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bottom"/>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bottom"/>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ZH15072310009</w:t>
            </w:r>
          </w:p>
        </w:tc>
        <w:tc>
          <w:tcPr>
            <w:tcW w:w="1118" w:type="dxa"/>
            <w:vAlign w:val="center"/>
          </w:tcPr>
          <w:p>
            <w:pPr>
              <w:widowControl/>
              <w:ind w:left="0" w:leftChars="0" w:right="0" w:rightChars="0"/>
              <w:jc w:val="center"/>
              <w:rPr>
                <w:szCs w:val="21"/>
              </w:rPr>
            </w:pPr>
            <w:r>
              <w:rPr>
                <w:szCs w:val="21"/>
              </w:rPr>
              <w:t>内蒙古毕拉河国家级自然保护区</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实验区可进入从事科学试验、教学实习、参观考察、旅游以及驯化、繁殖珍稀、濒危野生动植物等活动。在自然保护区的实验区内开展参观、旅游活动的，由自然保护区管理机构编制方案，方案应当符合自然保护区管理目标</w:t>
            </w:r>
            <w:r>
              <w:rPr>
                <w:rFonts w:hint="eastAsia"/>
              </w:rPr>
              <w:t>；</w:t>
            </w:r>
          </w:p>
          <w:p>
            <w:pPr>
              <w:widowControl/>
              <w:ind w:left="0" w:leftChars="0" w:right="0" w:rightChars="0"/>
              <w:textAlignment w:val="cente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ZH15072310010</w:t>
            </w:r>
          </w:p>
        </w:tc>
        <w:tc>
          <w:tcPr>
            <w:tcW w:w="1118" w:type="dxa"/>
            <w:vAlign w:val="center"/>
          </w:tcPr>
          <w:p>
            <w:pPr>
              <w:widowControl/>
              <w:ind w:left="0" w:leftChars="0" w:right="0" w:rightChars="0"/>
              <w:jc w:val="center"/>
              <w:rPr>
                <w:szCs w:val="21"/>
              </w:rPr>
            </w:pPr>
            <w:r>
              <w:rPr>
                <w:szCs w:val="21"/>
              </w:rPr>
              <w:t>内蒙古达尔滨湖国家森林公园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ZH15072310011</w:t>
            </w:r>
          </w:p>
        </w:tc>
        <w:tc>
          <w:tcPr>
            <w:tcW w:w="1118" w:type="dxa"/>
            <w:vAlign w:val="center"/>
          </w:tcPr>
          <w:p>
            <w:pPr>
              <w:widowControl/>
              <w:ind w:left="0" w:leftChars="0" w:right="0" w:rightChars="0"/>
              <w:jc w:val="center"/>
              <w:rPr>
                <w:szCs w:val="21"/>
              </w:rPr>
            </w:pPr>
            <w:r>
              <w:rPr>
                <w:szCs w:val="21"/>
              </w:rPr>
              <w:t>内蒙古大杨树奎勒河国家湿地公园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ZH15072310012</w:t>
            </w:r>
          </w:p>
        </w:tc>
        <w:tc>
          <w:tcPr>
            <w:tcW w:w="1118" w:type="dxa"/>
            <w:vAlign w:val="center"/>
          </w:tcPr>
          <w:p>
            <w:pPr>
              <w:widowControl/>
              <w:ind w:left="0" w:leftChars="0" w:right="0" w:rightChars="0"/>
              <w:jc w:val="center"/>
              <w:rPr>
                <w:szCs w:val="21"/>
              </w:rPr>
            </w:pPr>
            <w:r>
              <w:rPr>
                <w:szCs w:val="21"/>
              </w:rPr>
              <w:t>内蒙古鄂伦春旗大杨树自治区湿地公园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bottom"/>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bottom"/>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ZH15072310013</w:t>
            </w:r>
          </w:p>
        </w:tc>
        <w:tc>
          <w:tcPr>
            <w:tcW w:w="1118" w:type="dxa"/>
            <w:vAlign w:val="center"/>
          </w:tcPr>
          <w:p>
            <w:pPr>
              <w:widowControl/>
              <w:ind w:left="0" w:leftChars="0" w:right="0" w:rightChars="0"/>
              <w:jc w:val="center"/>
              <w:rPr>
                <w:szCs w:val="21"/>
              </w:rPr>
            </w:pPr>
            <w:r>
              <w:rPr>
                <w:szCs w:val="21"/>
              </w:rPr>
              <w:t>内蒙古鄂伦春旗多布库尔河自治区湿地公园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bottom"/>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bottom"/>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ZH15072310014</w:t>
            </w:r>
          </w:p>
        </w:tc>
        <w:tc>
          <w:tcPr>
            <w:tcW w:w="1118" w:type="dxa"/>
            <w:vAlign w:val="center"/>
          </w:tcPr>
          <w:p>
            <w:pPr>
              <w:widowControl/>
              <w:ind w:left="0" w:leftChars="0" w:right="0" w:rightChars="0"/>
              <w:jc w:val="center"/>
              <w:rPr>
                <w:szCs w:val="21"/>
              </w:rPr>
            </w:pPr>
            <w:r>
              <w:rPr>
                <w:szCs w:val="21"/>
              </w:rPr>
              <w:t>内蒙古嘎仙洞自治区森林公园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p>
          <w:p>
            <w:pPr>
              <w:widowControl/>
              <w:ind w:left="0" w:leftChars="0" w:right="0" w:rightChars="0"/>
              <w:textAlignment w:val="center"/>
              <w:rPr>
                <w:kern w:val="0"/>
                <w:sz w:val="20"/>
                <w:szCs w:val="20"/>
                <w:lang w:bidi="ar"/>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ZH15072310015</w:t>
            </w:r>
          </w:p>
        </w:tc>
        <w:tc>
          <w:tcPr>
            <w:tcW w:w="1118" w:type="dxa"/>
            <w:vAlign w:val="center"/>
          </w:tcPr>
          <w:p>
            <w:pPr>
              <w:widowControl/>
              <w:ind w:left="0" w:leftChars="0" w:right="0" w:rightChars="0"/>
              <w:jc w:val="center"/>
              <w:rPr>
                <w:szCs w:val="21"/>
              </w:rPr>
            </w:pPr>
            <w:r>
              <w:rPr>
                <w:szCs w:val="21"/>
              </w:rPr>
              <w:t>内蒙古甘河国家湿地公园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ZH15072310016</w:t>
            </w:r>
          </w:p>
        </w:tc>
        <w:tc>
          <w:tcPr>
            <w:tcW w:w="1118" w:type="dxa"/>
            <w:vAlign w:val="center"/>
          </w:tcPr>
          <w:p>
            <w:pPr>
              <w:widowControl/>
              <w:ind w:left="0" w:leftChars="0" w:right="0" w:rightChars="0"/>
              <w:jc w:val="center"/>
              <w:rPr>
                <w:szCs w:val="21"/>
              </w:rPr>
            </w:pPr>
            <w:r>
              <w:rPr>
                <w:szCs w:val="21"/>
              </w:rPr>
              <w:t>内蒙古吉文布苏里自治区湿地公园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bottom"/>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bottom"/>
              <w:rPr>
                <w:kern w:val="0"/>
                <w:sz w:val="20"/>
                <w:szCs w:val="20"/>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rFonts w:hint="eastAsia"/>
                <w:szCs w:val="21"/>
              </w:rPr>
              <w:t>ZH15072310017</w:t>
            </w:r>
          </w:p>
        </w:tc>
        <w:tc>
          <w:tcPr>
            <w:tcW w:w="1118" w:type="dxa"/>
            <w:vAlign w:val="center"/>
          </w:tcPr>
          <w:p>
            <w:pPr>
              <w:widowControl/>
              <w:ind w:left="0" w:leftChars="0" w:right="0" w:rightChars="0"/>
              <w:jc w:val="center"/>
              <w:rPr>
                <w:szCs w:val="21"/>
              </w:rPr>
            </w:pPr>
            <w:r>
              <w:rPr>
                <w:szCs w:val="21"/>
              </w:rPr>
              <w:t>内蒙古克一河自治区湿地公园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bottom"/>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bottom"/>
              <w:rPr>
                <w:kern w:val="0"/>
                <w:sz w:val="20"/>
                <w:szCs w:val="20"/>
                <w:lang w:bidi="ar"/>
              </w:rP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szCs w:val="21"/>
              </w:rPr>
            </w:pPr>
            <w:r>
              <w:rPr>
                <w:szCs w:val="21"/>
              </w:rPr>
              <w:t>ZH15072310018</w:t>
            </w:r>
          </w:p>
        </w:tc>
        <w:tc>
          <w:tcPr>
            <w:tcW w:w="1118" w:type="dxa"/>
            <w:vAlign w:val="center"/>
          </w:tcPr>
          <w:p>
            <w:pPr>
              <w:widowControl/>
              <w:ind w:left="0" w:leftChars="0" w:right="0" w:rightChars="0"/>
              <w:jc w:val="center"/>
              <w:rPr>
                <w:szCs w:val="21"/>
              </w:rPr>
            </w:pPr>
            <w:r>
              <w:rPr>
                <w:szCs w:val="21"/>
              </w:rPr>
              <w:t>内蒙古兴安国家森林公园</w:t>
            </w:r>
          </w:p>
        </w:tc>
        <w:tc>
          <w:tcPr>
            <w:tcW w:w="911" w:type="dxa"/>
            <w:vAlign w:val="center"/>
          </w:tcPr>
          <w:p>
            <w:pPr>
              <w:widowControl/>
              <w:ind w:left="0" w:leftChars="0" w:right="0" w:rightChars="0"/>
              <w:jc w:val="center"/>
              <w:rPr>
                <w:szCs w:val="21"/>
              </w:rPr>
            </w:pPr>
            <w:r>
              <w:rPr>
                <w:szCs w:val="21"/>
              </w:rPr>
              <w:t>优先保护单元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p>
          <w:p>
            <w:pPr>
              <w:widowControl/>
              <w:ind w:left="0" w:leftChars="0" w:right="0" w:rightChars="0"/>
              <w:textAlignment w:val="bottom"/>
              <w:rPr>
                <w:kern w:val="0"/>
                <w:sz w:val="20"/>
                <w:szCs w:val="20"/>
                <w:lang w:bidi="ar"/>
              </w:rPr>
            </w:pPr>
            <w:r>
              <w:t>3.生态保护红线内</w:t>
            </w:r>
            <w:r>
              <w:rPr>
                <w:rFonts w:hint="eastAsia"/>
              </w:rPr>
              <w:t>允许有限人为活动应属于</w:t>
            </w:r>
            <w:r>
              <w:rPr>
                <w:rFonts w:hint="eastAsia"/>
                <w:kern w:val="0"/>
              </w:rPr>
              <w:t>《自然资源部 生态环境部 国家林业和草原局关于加强生态保护红线管理的通知（试行）》</w:t>
            </w:r>
            <w:r>
              <w:rPr>
                <w:rFonts w:hint="eastAsia"/>
              </w:rPr>
              <w:t>（自然资发〔2022〕142号）文件规定的类型。生态保护红线内自然保护区、风景名胜区、饮用水水源保护区等区域，依照法律法规执行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Merge w:val="restart"/>
            <w:vAlign w:val="center"/>
          </w:tcPr>
          <w:p>
            <w:pPr>
              <w:widowControl/>
              <w:ind w:left="0" w:leftChars="0" w:right="0" w:rightChars="0"/>
              <w:jc w:val="center"/>
              <w:rPr>
                <w:szCs w:val="21"/>
              </w:rPr>
            </w:pPr>
            <w:r>
              <w:rPr>
                <w:kern w:val="0"/>
                <w:szCs w:val="21"/>
                <w:lang w:bidi="ar"/>
              </w:rPr>
              <w:t>ZH15072320001</w:t>
            </w:r>
          </w:p>
        </w:tc>
        <w:tc>
          <w:tcPr>
            <w:tcW w:w="1118" w:type="dxa"/>
            <w:vMerge w:val="restart"/>
            <w:vAlign w:val="center"/>
          </w:tcPr>
          <w:p>
            <w:pPr>
              <w:widowControl/>
              <w:ind w:left="0" w:leftChars="0" w:right="0" w:rightChars="0"/>
              <w:jc w:val="center"/>
              <w:rPr>
                <w:szCs w:val="21"/>
              </w:rPr>
            </w:pPr>
            <w:r>
              <w:rPr>
                <w:kern w:val="0"/>
                <w:szCs w:val="21"/>
                <w:lang w:bidi="ar"/>
              </w:rPr>
              <w:t>鄂伦春自治旗城镇空间</w:t>
            </w:r>
          </w:p>
        </w:tc>
        <w:tc>
          <w:tcPr>
            <w:tcW w:w="911" w:type="dxa"/>
            <w:vMerge w:val="restart"/>
            <w:vAlign w:val="center"/>
          </w:tcPr>
          <w:p>
            <w:pPr>
              <w:widowControl/>
              <w:ind w:left="0" w:leftChars="0" w:right="0" w:rightChars="0"/>
              <w:jc w:val="center"/>
              <w:rPr>
                <w:szCs w:val="21"/>
              </w:rPr>
            </w:pPr>
            <w:r>
              <w:rPr>
                <w:szCs w:val="21"/>
              </w:rPr>
              <w:t>重点管控单元</w:t>
            </w: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rPr>
                <w:szCs w:val="21"/>
              </w:rPr>
            </w:pPr>
            <w:r>
              <w:rPr>
                <w:szCs w:val="21"/>
              </w:rPr>
              <w:t>1.扩大城镇集中供热覆盖范围，加大燃煤小锅炉淘汰力度，鼓励采取太阳能、风能多能互补清洁取暖，旗市区</w:t>
            </w:r>
            <w:r>
              <w:t>城市建成区</w:t>
            </w:r>
            <w:r>
              <w:rPr>
                <w:szCs w:val="21"/>
              </w:rPr>
              <w:t>原则上不再新建35t/h</w:t>
            </w:r>
            <w:r>
              <w:rPr>
                <w:rFonts w:hint="eastAsia"/>
                <w:szCs w:val="21"/>
              </w:rPr>
              <w:t>及</w:t>
            </w:r>
            <w:r>
              <w:rPr>
                <w:szCs w:val="21"/>
              </w:rPr>
              <w:t>以下燃煤锅炉。</w:t>
            </w:r>
          </w:p>
          <w:p>
            <w:pPr>
              <w:widowControl/>
              <w:ind w:left="0" w:leftChars="0" w:right="0" w:rightChars="0"/>
              <w:textAlignment w:val="center"/>
            </w:pPr>
            <w:r>
              <w:rPr>
                <w:szCs w:val="21"/>
              </w:rP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污染物排放管控</w:t>
            </w:r>
          </w:p>
        </w:tc>
        <w:tc>
          <w:tcPr>
            <w:tcW w:w="5710" w:type="dxa"/>
            <w:vAlign w:val="center"/>
          </w:tcPr>
          <w:p>
            <w:pPr>
              <w:widowControl/>
              <w:ind w:left="0" w:leftChars="0" w:right="0" w:rightChars="0"/>
              <w:textAlignment w:val="center"/>
              <w:rPr>
                <w:szCs w:val="21"/>
              </w:rPr>
            </w:pPr>
            <w:r>
              <w:rPr>
                <w:szCs w:val="21"/>
              </w:rPr>
              <w:t>1.提升城镇生活污水收集管网覆盖率，逐步实施雨污管网分流改造、管网更新、破损修复、中水回用等工程。</w:t>
            </w:r>
          </w:p>
          <w:p>
            <w:pPr>
              <w:widowControl/>
              <w:ind w:left="0" w:leftChars="0" w:right="0" w:rightChars="0"/>
              <w:textAlignment w:val="center"/>
            </w:pPr>
            <w:r>
              <w:rPr>
                <w:szCs w:val="21"/>
              </w:rP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textAlignment w:val="center"/>
              <w:rPr>
                <w:kern w:val="0"/>
                <w:szCs w:val="21"/>
                <w:lang w:bidi="ar"/>
              </w:rPr>
            </w:pPr>
            <w:r>
              <w:rPr>
                <w:kern w:val="0"/>
                <w:szCs w:val="21"/>
                <w:lang w:bidi="ar"/>
              </w:rPr>
              <w:t>资源利用效率要求</w:t>
            </w:r>
          </w:p>
        </w:tc>
        <w:tc>
          <w:tcPr>
            <w:tcW w:w="5710" w:type="dxa"/>
            <w:vAlign w:val="center"/>
          </w:tcPr>
          <w:p>
            <w:pPr>
              <w:widowControl/>
              <w:ind w:left="0" w:leftChars="0" w:right="0" w:rightChars="0"/>
              <w:textAlignment w:val="center"/>
              <w:rPr>
                <w:szCs w:val="21"/>
              </w:rPr>
            </w:pPr>
            <w:r>
              <w:rPr>
                <w:rFonts w:hint="eastAsia"/>
                <w:szCs w:val="21"/>
              </w:rPr>
              <w:t>1</w:t>
            </w:r>
            <w:r>
              <w:rPr>
                <w:szCs w:val="21"/>
              </w:rPr>
              <w:t>.禁止在</w:t>
            </w:r>
            <w:r>
              <w:rPr>
                <w:kern w:val="0"/>
                <w:szCs w:val="21"/>
                <w:lang w:bidi="ar"/>
              </w:rPr>
              <w:t>高污染燃料</w:t>
            </w:r>
            <w:r>
              <w:rPr>
                <w:szCs w:val="21"/>
              </w:rPr>
              <w:t>禁燃区内新建、改建、扩建燃用高污染燃料的燃烧设施，禁止在高污染禁燃区内销售、燃用高污染燃料。禁燃区内现有高污染燃料设施应按限自行淘汰（集中供热企业除外），改用天然气、液化石油气或太阳能、电等清洁能源。在不具备使用清洁能源条件的区域，可使用配备专用锅炉和除尘装置的生物质成型燃料；现有燃用高污染燃料设备在拆除或改造之前，有关单位和个人应当采取措施，确保排放的大气污染物达到国家和地方规定的大气污染物排放标准。</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szCs w:val="21"/>
              </w:rPr>
            </w:pPr>
            <w:r>
              <w:rPr>
                <w:rFonts w:hint="eastAsia"/>
                <w:szCs w:val="21"/>
              </w:rPr>
              <w:t>ZH15072320002</w:t>
            </w:r>
          </w:p>
        </w:tc>
        <w:tc>
          <w:tcPr>
            <w:tcW w:w="1118" w:type="dxa"/>
            <w:vMerge w:val="restart"/>
            <w:vAlign w:val="center"/>
          </w:tcPr>
          <w:p>
            <w:pPr>
              <w:widowControl/>
              <w:ind w:left="0" w:leftChars="0" w:right="0" w:rightChars="0"/>
              <w:jc w:val="center"/>
              <w:rPr>
                <w:szCs w:val="21"/>
              </w:rPr>
            </w:pPr>
            <w:r>
              <w:rPr>
                <w:szCs w:val="21"/>
              </w:rPr>
              <w:t>鄂伦春自治旗非金属矿</w:t>
            </w:r>
          </w:p>
        </w:tc>
        <w:tc>
          <w:tcPr>
            <w:tcW w:w="911" w:type="dxa"/>
            <w:vMerge w:val="restart"/>
            <w:vAlign w:val="center"/>
          </w:tcPr>
          <w:p>
            <w:pPr>
              <w:widowControl/>
              <w:ind w:left="0" w:leftChars="0" w:right="0" w:rightChars="0"/>
              <w:jc w:val="center"/>
              <w:rPr>
                <w:szCs w:val="21"/>
              </w:rPr>
            </w:pPr>
            <w:r>
              <w:rPr>
                <w:szCs w:val="21"/>
              </w:rPr>
              <w:t>重点管控单元</w:t>
            </w:r>
          </w:p>
        </w:tc>
        <w:tc>
          <w:tcPr>
            <w:tcW w:w="673" w:type="dxa"/>
            <w:vAlign w:val="center"/>
          </w:tcPr>
          <w:p>
            <w:pPr>
              <w:widowControl/>
              <w:ind w:left="0" w:leftChars="0" w:right="0" w:rightChars="0"/>
              <w:jc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kern w:val="0"/>
                <w:szCs w:val="21"/>
                <w:lang w:bidi="ar"/>
              </w:rPr>
              <w:t>污染物排放管控</w:t>
            </w:r>
          </w:p>
        </w:tc>
        <w:tc>
          <w:tcPr>
            <w:tcW w:w="5710"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szCs w:val="21"/>
              </w:rPr>
              <w:t>环境风险防控</w:t>
            </w:r>
          </w:p>
        </w:tc>
        <w:tc>
          <w:tcPr>
            <w:tcW w:w="5710"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10"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szCs w:val="21"/>
              </w:rPr>
            </w:pPr>
            <w:r>
              <w:rPr>
                <w:rFonts w:hint="eastAsia"/>
                <w:szCs w:val="21"/>
              </w:rPr>
              <w:t>ZH15072320003</w:t>
            </w:r>
          </w:p>
        </w:tc>
        <w:tc>
          <w:tcPr>
            <w:tcW w:w="1118" w:type="dxa"/>
            <w:vMerge w:val="restart"/>
            <w:vAlign w:val="center"/>
          </w:tcPr>
          <w:p>
            <w:pPr>
              <w:widowControl/>
              <w:ind w:left="0" w:leftChars="0" w:right="0" w:rightChars="0"/>
              <w:jc w:val="center"/>
              <w:rPr>
                <w:szCs w:val="21"/>
              </w:rPr>
            </w:pPr>
            <w:r>
              <w:rPr>
                <w:szCs w:val="21"/>
              </w:rPr>
              <w:t>鄂伦春自治旗金属矿</w:t>
            </w:r>
          </w:p>
        </w:tc>
        <w:tc>
          <w:tcPr>
            <w:tcW w:w="911" w:type="dxa"/>
            <w:vMerge w:val="restart"/>
            <w:vAlign w:val="center"/>
          </w:tcPr>
          <w:p>
            <w:pPr>
              <w:widowControl/>
              <w:ind w:left="0" w:leftChars="0" w:right="0" w:rightChars="0"/>
              <w:jc w:val="center"/>
              <w:rPr>
                <w:szCs w:val="21"/>
              </w:rPr>
            </w:pPr>
            <w:r>
              <w:rPr>
                <w:szCs w:val="21"/>
              </w:rPr>
              <w:t>重点管控单元</w:t>
            </w:r>
          </w:p>
        </w:tc>
        <w:tc>
          <w:tcPr>
            <w:tcW w:w="673" w:type="dxa"/>
            <w:vAlign w:val="center"/>
          </w:tcPr>
          <w:p>
            <w:pPr>
              <w:widowControl/>
              <w:ind w:left="0" w:leftChars="0" w:right="0" w:rightChars="0"/>
              <w:jc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kern w:val="0"/>
                <w:szCs w:val="21"/>
                <w:lang w:bidi="ar"/>
              </w:rPr>
              <w:t>污染物排放管控</w:t>
            </w:r>
          </w:p>
        </w:tc>
        <w:tc>
          <w:tcPr>
            <w:tcW w:w="5710"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tabs>
                <w:tab w:val="left" w:pos="312"/>
              </w:tabs>
              <w:jc w:val="left"/>
            </w:pPr>
            <w:r>
              <w:t>2.生产矿山年度占用土地面积与年度治理面积基本达到平衡，“三废”排放符合环保指标要求。</w:t>
            </w:r>
          </w:p>
          <w:p>
            <w:pPr>
              <w:widowControl/>
              <w:tabs>
                <w:tab w:val="left" w:pos="312"/>
              </w:tabs>
              <w:jc w:val="left"/>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szCs w:val="21"/>
              </w:rPr>
              <w:t>环境风险防控</w:t>
            </w:r>
          </w:p>
        </w:tc>
        <w:tc>
          <w:tcPr>
            <w:tcW w:w="5710"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10"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szCs w:val="21"/>
              </w:rPr>
            </w:pPr>
            <w:r>
              <w:rPr>
                <w:rFonts w:hint="eastAsia"/>
                <w:szCs w:val="21"/>
              </w:rPr>
              <w:t>ZH15072320004</w:t>
            </w:r>
          </w:p>
        </w:tc>
        <w:tc>
          <w:tcPr>
            <w:tcW w:w="1118" w:type="dxa"/>
            <w:vMerge w:val="restart"/>
            <w:vAlign w:val="center"/>
          </w:tcPr>
          <w:p>
            <w:pPr>
              <w:widowControl/>
              <w:ind w:left="0" w:leftChars="0" w:right="0" w:rightChars="0"/>
              <w:jc w:val="center"/>
              <w:rPr>
                <w:szCs w:val="21"/>
              </w:rPr>
            </w:pPr>
            <w:r>
              <w:rPr>
                <w:szCs w:val="21"/>
              </w:rPr>
              <w:t>鄂伦春自治旗煤矿</w:t>
            </w:r>
          </w:p>
        </w:tc>
        <w:tc>
          <w:tcPr>
            <w:tcW w:w="911" w:type="dxa"/>
            <w:vMerge w:val="restart"/>
            <w:vAlign w:val="center"/>
          </w:tcPr>
          <w:p>
            <w:pPr>
              <w:widowControl/>
              <w:ind w:left="0" w:leftChars="0" w:right="0" w:rightChars="0"/>
              <w:jc w:val="center"/>
              <w:rPr>
                <w:szCs w:val="21"/>
              </w:rPr>
            </w:pPr>
            <w:r>
              <w:rPr>
                <w:szCs w:val="21"/>
              </w:rPr>
              <w:t>重点管控单元</w:t>
            </w:r>
          </w:p>
        </w:tc>
        <w:tc>
          <w:tcPr>
            <w:tcW w:w="673" w:type="dxa"/>
            <w:vAlign w:val="center"/>
          </w:tcPr>
          <w:p>
            <w:pPr>
              <w:widowControl/>
              <w:ind w:left="0" w:leftChars="0" w:right="0" w:rightChars="0"/>
              <w:jc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kern w:val="0"/>
                <w:szCs w:val="21"/>
                <w:lang w:bidi="ar"/>
              </w:rPr>
              <w:t>污染物排放管控</w:t>
            </w:r>
          </w:p>
        </w:tc>
        <w:tc>
          <w:tcPr>
            <w:tcW w:w="5710"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szCs w:val="21"/>
              </w:rPr>
              <w:t>环境风险防控</w:t>
            </w:r>
          </w:p>
        </w:tc>
        <w:tc>
          <w:tcPr>
            <w:tcW w:w="5710"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pStyle w:val="2"/>
              <w:ind w:left="0" w:leftChars="0" w:right="0" w:rightChars="0" w:firstLine="0"/>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18" w:type="dxa"/>
            <w:vMerge w:val="continue"/>
            <w:vAlign w:val="center"/>
          </w:tcPr>
          <w:p>
            <w:pPr>
              <w:widowControl/>
              <w:ind w:left="0" w:leftChars="0" w:right="0" w:rightChars="0"/>
              <w:jc w:val="center"/>
              <w:rPr>
                <w:szCs w:val="21"/>
              </w:rPr>
            </w:pPr>
          </w:p>
        </w:tc>
        <w:tc>
          <w:tcPr>
            <w:tcW w:w="911" w:type="dxa"/>
            <w:vMerge w:val="continue"/>
            <w:vAlign w:val="center"/>
          </w:tcPr>
          <w:p>
            <w:pPr>
              <w:widowControl/>
              <w:ind w:left="0" w:leftChars="0" w:right="0" w:rightChars="0"/>
              <w:jc w:val="center"/>
              <w:rPr>
                <w:szCs w:val="21"/>
              </w:rPr>
            </w:pPr>
          </w:p>
        </w:tc>
        <w:tc>
          <w:tcPr>
            <w:tcW w:w="67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10"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kern w:val="0"/>
                <w:szCs w:val="21"/>
                <w:lang w:bidi="ar"/>
              </w:rPr>
            </w:pPr>
            <w:r>
              <w:rPr>
                <w:kern w:val="0"/>
                <w:szCs w:val="21"/>
                <w:lang w:bidi="ar"/>
              </w:rPr>
              <w:t>ZH15072330001</w:t>
            </w:r>
          </w:p>
        </w:tc>
        <w:tc>
          <w:tcPr>
            <w:tcW w:w="1118" w:type="dxa"/>
            <w:vAlign w:val="center"/>
          </w:tcPr>
          <w:p>
            <w:pPr>
              <w:widowControl/>
              <w:ind w:left="0" w:leftChars="0" w:right="0" w:rightChars="0"/>
              <w:jc w:val="center"/>
              <w:rPr>
                <w:kern w:val="0"/>
                <w:szCs w:val="21"/>
                <w:lang w:bidi="ar"/>
              </w:rPr>
            </w:pPr>
            <w:r>
              <w:rPr>
                <w:kern w:val="0"/>
                <w:szCs w:val="21"/>
                <w:lang w:bidi="ar"/>
              </w:rPr>
              <w:t>鄂伦春自治旗一般管控单元</w:t>
            </w:r>
          </w:p>
        </w:tc>
        <w:tc>
          <w:tcPr>
            <w:tcW w:w="911" w:type="dxa"/>
            <w:vAlign w:val="center"/>
          </w:tcPr>
          <w:p>
            <w:pPr>
              <w:widowControl/>
              <w:ind w:left="0" w:leftChars="0" w:right="0" w:rightChars="0"/>
              <w:jc w:val="center"/>
              <w:rPr>
                <w:szCs w:val="21"/>
              </w:rPr>
            </w:pPr>
            <w:r>
              <w:rPr>
                <w:szCs w:val="21"/>
              </w:rPr>
              <w:t>一般管控单元</w:t>
            </w:r>
          </w:p>
        </w:tc>
        <w:tc>
          <w:tcPr>
            <w:tcW w:w="673" w:type="dxa"/>
            <w:vAlign w:val="center"/>
          </w:tcPr>
          <w:p>
            <w:pPr>
              <w:widowControl/>
              <w:ind w:left="0" w:leftChars="0" w:right="0" w:rightChars="0"/>
              <w:jc w:val="center"/>
              <w:rPr>
                <w:kern w:val="0"/>
                <w:szCs w:val="21"/>
                <w:lang w:bidi="ar"/>
              </w:rPr>
            </w:pPr>
            <w:r>
              <w:rPr>
                <w:kern w:val="0"/>
                <w:szCs w:val="21"/>
                <w:lang w:bidi="ar"/>
              </w:rPr>
              <w:t>空间布局约束</w:t>
            </w:r>
          </w:p>
        </w:tc>
        <w:tc>
          <w:tcPr>
            <w:tcW w:w="5710" w:type="dxa"/>
            <w:vAlign w:val="center"/>
          </w:tcPr>
          <w:p>
            <w:pPr>
              <w:widowControl/>
              <w:ind w:left="0" w:leftChars="0" w:right="0" w:rightChars="0"/>
              <w:textAlignment w:val="center"/>
            </w:pPr>
            <w: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pPr>
            <w: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51" w:name="_Toc142233286"/>
      <w:r>
        <w:rPr>
          <w:rFonts w:ascii="Times New Roman" w:hAnsi="Times New Roman" w:eastAsia="仿宋_GB2312"/>
        </w:rPr>
        <w:t>（十）呼伦贝尔市鄂温克族自治旗生态环境准入清单</w:t>
      </w:r>
      <w:bookmarkEnd w:id="51"/>
    </w:p>
    <w:p>
      <w:pPr>
        <w:adjustRightInd/>
        <w:snapToGrid/>
        <w:spacing w:line="500" w:lineRule="exact"/>
        <w:ind w:left="0" w:leftChars="0" w:right="0" w:rightChars="0"/>
        <w:jc w:val="center"/>
        <w:rPr>
          <w:b/>
          <w:bCs/>
          <w:sz w:val="28"/>
          <w:szCs w:val="28"/>
        </w:rPr>
      </w:pPr>
      <w:r>
        <w:rPr>
          <w:b/>
          <w:bCs/>
          <w:sz w:val="28"/>
          <w:szCs w:val="28"/>
        </w:rPr>
        <w:t>表10呼伦贝尔市鄂温克族自治旗生态环境准入清单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1633"/>
        <w:gridCol w:w="1384"/>
        <w:gridCol w:w="1078"/>
        <w:gridCol w:w="8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98" w:type="dxa"/>
            <w:vAlign w:val="center"/>
          </w:tcPr>
          <w:p>
            <w:pPr>
              <w:widowControl/>
              <w:ind w:left="0" w:leftChars="0" w:right="0" w:rightChars="0"/>
              <w:jc w:val="center"/>
              <w:rPr>
                <w:b/>
                <w:bCs/>
                <w:szCs w:val="21"/>
              </w:rPr>
            </w:pPr>
            <w:r>
              <w:rPr>
                <w:b/>
                <w:bCs/>
                <w:szCs w:val="21"/>
              </w:rPr>
              <w:t>环境管控单元编码</w:t>
            </w:r>
          </w:p>
        </w:tc>
        <w:tc>
          <w:tcPr>
            <w:tcW w:w="1094" w:type="dxa"/>
            <w:vAlign w:val="center"/>
          </w:tcPr>
          <w:p>
            <w:pPr>
              <w:widowControl/>
              <w:ind w:left="0" w:leftChars="0" w:right="0" w:rightChars="0"/>
              <w:jc w:val="center"/>
              <w:rPr>
                <w:b/>
                <w:bCs/>
                <w:szCs w:val="21"/>
              </w:rPr>
            </w:pPr>
            <w:r>
              <w:rPr>
                <w:b/>
                <w:bCs/>
                <w:szCs w:val="21"/>
              </w:rPr>
              <w:t>环境管控单元名称</w:t>
            </w:r>
          </w:p>
        </w:tc>
        <w:tc>
          <w:tcPr>
            <w:tcW w:w="927" w:type="dxa"/>
            <w:vAlign w:val="center"/>
          </w:tcPr>
          <w:p>
            <w:pPr>
              <w:widowControl/>
              <w:ind w:left="0" w:leftChars="0" w:right="0" w:rightChars="0"/>
              <w:jc w:val="center"/>
              <w:rPr>
                <w:b/>
                <w:bCs/>
                <w:szCs w:val="21"/>
              </w:rPr>
            </w:pPr>
            <w:r>
              <w:rPr>
                <w:b/>
                <w:bCs/>
                <w:szCs w:val="21"/>
              </w:rPr>
              <w:t>管控单元类别</w:t>
            </w:r>
          </w:p>
        </w:tc>
        <w:tc>
          <w:tcPr>
            <w:tcW w:w="6374"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ZH15072410001</w:t>
            </w:r>
          </w:p>
        </w:tc>
        <w:tc>
          <w:tcPr>
            <w:tcW w:w="1094" w:type="dxa"/>
            <w:vAlign w:val="center"/>
          </w:tcPr>
          <w:p>
            <w:pPr>
              <w:widowControl/>
              <w:ind w:left="0" w:leftChars="0" w:right="0" w:rightChars="0"/>
              <w:jc w:val="center"/>
              <w:rPr>
                <w:szCs w:val="21"/>
              </w:rPr>
            </w:pPr>
            <w:r>
              <w:rPr>
                <w:rFonts w:hint="eastAsia"/>
                <w:szCs w:val="21"/>
              </w:rPr>
              <w:t>鄂温克族自治旗生物多样性维护生态功能重要区</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2.禁止生物多样性维护生态功能区的大规模水电开发和林纸一体化产业发展；</w:t>
            </w:r>
          </w:p>
          <w:p>
            <w:pPr>
              <w:widowControl/>
              <w:ind w:left="0" w:leftChars="0" w:right="0" w:rightChars="0"/>
              <w:textAlignment w:val="center"/>
            </w:pPr>
            <w:r>
              <w:rPr>
                <w:rFonts w:hint="eastAsia"/>
              </w:rPr>
              <w:t>3.鄂温克族自治旗生物多样性维护生态功能重要区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ZH15072410002</w:t>
            </w:r>
          </w:p>
        </w:tc>
        <w:tc>
          <w:tcPr>
            <w:tcW w:w="1094" w:type="dxa"/>
            <w:vAlign w:val="center"/>
          </w:tcPr>
          <w:p>
            <w:pPr>
              <w:widowControl/>
              <w:ind w:left="0" w:leftChars="0" w:right="0" w:rightChars="0"/>
              <w:jc w:val="center"/>
              <w:rPr>
                <w:szCs w:val="21"/>
              </w:rPr>
            </w:pPr>
            <w:r>
              <w:rPr>
                <w:rFonts w:hint="eastAsia"/>
                <w:szCs w:val="21"/>
              </w:rPr>
              <w:t>鄂温克族自治旗水源涵养生态功能重要区域</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pPr>
            <w:r>
              <w:rPr>
                <w:rFonts w:hint="eastAsia"/>
              </w:rPr>
              <w:t>3.鄂温克族自治旗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Align w:val="center"/>
          </w:tcPr>
          <w:p>
            <w:pPr>
              <w:widowControl/>
              <w:ind w:left="0" w:leftChars="0" w:right="0" w:rightChars="0"/>
              <w:jc w:val="center"/>
              <w:rPr>
                <w:szCs w:val="21"/>
              </w:rPr>
            </w:pPr>
            <w:r>
              <w:rPr>
                <w:rFonts w:hint="eastAsia"/>
                <w:szCs w:val="21"/>
              </w:rPr>
              <w:t>ZH15072410003</w:t>
            </w:r>
          </w:p>
        </w:tc>
        <w:tc>
          <w:tcPr>
            <w:tcW w:w="1094" w:type="dxa"/>
            <w:vAlign w:val="center"/>
          </w:tcPr>
          <w:p>
            <w:pPr>
              <w:widowControl/>
              <w:ind w:left="0" w:leftChars="0" w:right="0" w:rightChars="0"/>
              <w:jc w:val="center"/>
              <w:rPr>
                <w:szCs w:val="21"/>
              </w:rPr>
            </w:pPr>
            <w:r>
              <w:rPr>
                <w:szCs w:val="21"/>
              </w:rPr>
              <w:t>红花尔基水库水源地</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bottom"/>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ZH15072410004</w:t>
            </w:r>
          </w:p>
        </w:tc>
        <w:tc>
          <w:tcPr>
            <w:tcW w:w="1094" w:type="dxa"/>
            <w:vAlign w:val="center"/>
          </w:tcPr>
          <w:p>
            <w:pPr>
              <w:widowControl/>
              <w:ind w:left="0" w:leftChars="0" w:right="0" w:rightChars="0"/>
              <w:jc w:val="center"/>
              <w:rPr>
                <w:szCs w:val="21"/>
              </w:rPr>
            </w:pPr>
            <w:r>
              <w:rPr>
                <w:szCs w:val="21"/>
              </w:rPr>
              <w:t>内蒙古阿尔山国家森林公园</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bottom"/>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ZH15072410005</w:t>
            </w:r>
          </w:p>
        </w:tc>
        <w:tc>
          <w:tcPr>
            <w:tcW w:w="1094" w:type="dxa"/>
            <w:vAlign w:val="center"/>
          </w:tcPr>
          <w:p>
            <w:pPr>
              <w:widowControl/>
              <w:ind w:left="0" w:leftChars="0" w:right="0" w:rightChars="0"/>
              <w:jc w:val="center"/>
              <w:rPr>
                <w:szCs w:val="21"/>
              </w:rPr>
            </w:pPr>
            <w:r>
              <w:rPr>
                <w:szCs w:val="21"/>
              </w:rPr>
              <w:t>内蒙古绰源国家森林公园</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p>
          <w:p>
            <w:pPr>
              <w:widowControl/>
              <w:ind w:left="0" w:leftChars="0" w:right="0" w:rightChars="0"/>
              <w:jc w:val="left"/>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ZH15072410006</w:t>
            </w:r>
          </w:p>
        </w:tc>
        <w:tc>
          <w:tcPr>
            <w:tcW w:w="1094" w:type="dxa"/>
            <w:vAlign w:val="center"/>
          </w:tcPr>
          <w:p>
            <w:pPr>
              <w:widowControl/>
              <w:ind w:left="0" w:leftChars="0" w:right="0" w:rightChars="0"/>
              <w:jc w:val="center"/>
              <w:rPr>
                <w:szCs w:val="21"/>
              </w:rPr>
            </w:pPr>
            <w:r>
              <w:rPr>
                <w:rFonts w:hint="eastAsia"/>
                <w:szCs w:val="21"/>
              </w:rPr>
              <w:t>大兴安岭水源涵养和生物多样性维护生态保护红线</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jc w:val="left"/>
              <w:textAlignment w:val="center"/>
            </w:pPr>
            <w:r>
              <w:t>2.禁止新建高水资源消耗产业；</w:t>
            </w:r>
          </w:p>
          <w:p>
            <w:pPr>
              <w:widowControl/>
              <w:ind w:left="0" w:leftChars="0" w:right="0" w:rightChars="0"/>
              <w:textAlignment w:val="center"/>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4.禁止生物多样性维护生态功能区的大规模水电开发和林纸一体化产业发展</w:t>
            </w:r>
            <w:r>
              <w:rPr>
                <w:rFonts w:hint="eastAsia"/>
              </w:rPr>
              <w:t>；</w:t>
            </w:r>
          </w:p>
          <w:p>
            <w:pPr>
              <w:widowControl/>
              <w:ind w:left="0" w:leftChars="0" w:right="0" w:rightChars="0"/>
              <w:textAlignment w:val="bottom"/>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Align w:val="center"/>
          </w:tcPr>
          <w:p>
            <w:pPr>
              <w:widowControl/>
              <w:ind w:left="0" w:leftChars="0" w:right="0" w:rightChars="0"/>
              <w:jc w:val="center"/>
              <w:rPr>
                <w:szCs w:val="21"/>
              </w:rPr>
            </w:pPr>
            <w:r>
              <w:rPr>
                <w:rFonts w:hint="eastAsia"/>
                <w:szCs w:val="21"/>
              </w:rPr>
              <w:t>ZH15072410007</w:t>
            </w:r>
          </w:p>
        </w:tc>
        <w:tc>
          <w:tcPr>
            <w:tcW w:w="1094" w:type="dxa"/>
            <w:vAlign w:val="center"/>
          </w:tcPr>
          <w:p>
            <w:pPr>
              <w:widowControl/>
              <w:ind w:left="0" w:leftChars="0" w:right="0" w:rightChars="0"/>
              <w:jc w:val="center"/>
              <w:rPr>
                <w:szCs w:val="21"/>
              </w:rPr>
            </w:pPr>
            <w:r>
              <w:rPr>
                <w:rFonts w:hint="eastAsia"/>
                <w:szCs w:val="21"/>
              </w:rPr>
              <w:t>呼伦贝尔草原生物多样性维护和防风固沙生态保护红线</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2.禁止生物多样性维护生态功能区的大规模水电开发和林纸一体化产业发展；</w:t>
            </w:r>
          </w:p>
          <w:p>
            <w:pPr>
              <w:widowControl/>
              <w:ind w:left="0" w:leftChars="0" w:right="0" w:rightChars="0"/>
              <w:textAlignment w:val="center"/>
            </w:pPr>
            <w:r>
              <w:t>3.降低防风固沙生态功能区的农牧业开发强度；禁止过度开垦、不适当樵采和超载过牧，退牧还草，防治草场退化沙化；</w:t>
            </w:r>
          </w:p>
          <w:p>
            <w:pPr>
              <w:widowControl/>
              <w:ind w:left="0" w:leftChars="0" w:right="0" w:rightChars="0"/>
              <w:textAlignment w:val="center"/>
            </w:pPr>
            <w:r>
              <w:t>4.转变畜牧业生产方式，实行禁牧休牧，推行舍饲圈养，以草定畜，严格控制载畜量。加大退耕还林、退牧还草力度，恢复草原植被。加强对内陆河流的规划和管理，保护沙区湿地，禁止发展高耗水工业。对主要沙尘源区、沙尘暴频发区实行封禁管理</w:t>
            </w:r>
            <w:r>
              <w:rPr>
                <w:rFonts w:hint="eastAsia"/>
              </w:rPr>
              <w:t>；</w:t>
            </w:r>
          </w:p>
          <w:p>
            <w:pPr>
              <w:widowControl/>
              <w:ind w:left="0" w:leftChars="0" w:right="0" w:rightChars="0"/>
              <w:textAlignment w:val="bottom"/>
            </w:pPr>
            <w:r>
              <w:rPr>
                <w:rFonts w:hint="eastAsia"/>
              </w:rPr>
              <w:t>5.</w:t>
            </w:r>
            <w:r>
              <w:t>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ZH15072410008</w:t>
            </w:r>
          </w:p>
        </w:tc>
        <w:tc>
          <w:tcPr>
            <w:tcW w:w="1094" w:type="dxa"/>
            <w:vAlign w:val="center"/>
          </w:tcPr>
          <w:p>
            <w:pPr>
              <w:widowControl/>
              <w:ind w:left="0" w:leftChars="0" w:right="0" w:rightChars="0"/>
              <w:jc w:val="center"/>
              <w:rPr>
                <w:szCs w:val="21"/>
              </w:rPr>
            </w:pPr>
            <w:r>
              <w:rPr>
                <w:szCs w:val="21"/>
              </w:rPr>
              <w:t>内蒙古辉河国家级自然保护区</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w:t>
            </w:r>
            <w:r>
              <w:t>.</w:t>
            </w:r>
            <w:r>
              <w:rPr>
                <w:rFonts w:hint="eastAsia"/>
              </w:rPr>
              <w:t>零星的原住民在不扩大现有建设用地和耕地规模前提下，修缮生产生活设施，保留生活必需的少量种植、放牧、捕捞、养殖；</w:t>
            </w:r>
          </w:p>
          <w:p>
            <w:pPr>
              <w:widowControl/>
              <w:ind w:left="0" w:leftChars="0" w:right="0" w:rightChars="0"/>
              <w:textAlignment w:val="center"/>
            </w:pPr>
            <w:r>
              <w:rPr>
                <w:rFonts w:hint="eastAsia"/>
              </w:rPr>
              <w:t>8.在生态保护红线内的有限人为活动管理要求按照《自然资源部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ZH15072410009</w:t>
            </w:r>
          </w:p>
        </w:tc>
        <w:tc>
          <w:tcPr>
            <w:tcW w:w="1094" w:type="dxa"/>
            <w:vAlign w:val="center"/>
          </w:tcPr>
          <w:p>
            <w:pPr>
              <w:widowControl/>
              <w:ind w:left="0" w:leftChars="0" w:right="0" w:rightChars="0"/>
              <w:jc w:val="center"/>
              <w:rPr>
                <w:szCs w:val="21"/>
              </w:rPr>
            </w:pPr>
            <w:r>
              <w:rPr>
                <w:szCs w:val="21"/>
              </w:rPr>
              <w:t>红花尔基水库水源地</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bottom"/>
            </w:pPr>
            <w:r>
              <w:t>5. 在饮用水水源一级保护区内已建成的与供水设施和保护水源无关的建设项目，由旗县级以上人民政府责令拆除或者关闭。</w:t>
            </w:r>
          </w:p>
          <w:p>
            <w:pPr>
              <w:pStyle w:val="2"/>
              <w:ind w:left="0" w:leftChars="0" w:firstLine="0"/>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ZH15072410010</w:t>
            </w:r>
          </w:p>
        </w:tc>
        <w:tc>
          <w:tcPr>
            <w:tcW w:w="1094" w:type="dxa"/>
            <w:vAlign w:val="center"/>
          </w:tcPr>
          <w:p>
            <w:pPr>
              <w:widowControl/>
              <w:ind w:left="0" w:leftChars="0" w:right="0" w:rightChars="0"/>
              <w:jc w:val="center"/>
              <w:rPr>
                <w:szCs w:val="21"/>
              </w:rPr>
            </w:pPr>
            <w:r>
              <w:rPr>
                <w:szCs w:val="21"/>
              </w:rPr>
              <w:t>内蒙古绰尔雅多罗国家湿地公园</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pStyle w:val="2"/>
              <w:ind w:left="0" w:leftChars="0" w:firstLine="0"/>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Align w:val="center"/>
          </w:tcPr>
          <w:p>
            <w:pPr>
              <w:widowControl/>
              <w:ind w:left="0" w:leftChars="0" w:right="0" w:rightChars="0"/>
              <w:jc w:val="center"/>
              <w:rPr>
                <w:szCs w:val="21"/>
              </w:rPr>
            </w:pPr>
            <w:r>
              <w:rPr>
                <w:rFonts w:hint="eastAsia"/>
                <w:szCs w:val="21"/>
              </w:rPr>
              <w:t>ZH15072410011</w:t>
            </w:r>
          </w:p>
        </w:tc>
        <w:tc>
          <w:tcPr>
            <w:tcW w:w="1094" w:type="dxa"/>
            <w:vAlign w:val="center"/>
          </w:tcPr>
          <w:p>
            <w:pPr>
              <w:widowControl/>
              <w:ind w:left="0" w:leftChars="0" w:right="0" w:rightChars="0"/>
              <w:jc w:val="center"/>
              <w:rPr>
                <w:szCs w:val="21"/>
              </w:rPr>
            </w:pPr>
            <w:r>
              <w:rPr>
                <w:szCs w:val="21"/>
              </w:rPr>
              <w:t>内蒙古红花尔基伊敏河国家湿地公园</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bottom"/>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bottom"/>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ZH15072410012</w:t>
            </w:r>
          </w:p>
        </w:tc>
        <w:tc>
          <w:tcPr>
            <w:tcW w:w="1094" w:type="dxa"/>
            <w:vAlign w:val="center"/>
          </w:tcPr>
          <w:p>
            <w:pPr>
              <w:widowControl/>
              <w:ind w:left="0" w:leftChars="0" w:right="0" w:rightChars="0"/>
              <w:jc w:val="center"/>
              <w:rPr>
                <w:szCs w:val="21"/>
              </w:rPr>
            </w:pPr>
            <w:r>
              <w:rPr>
                <w:szCs w:val="21"/>
              </w:rPr>
              <w:t>内蒙古红花尔基樟子松国家级自然保护区</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w:t>
            </w:r>
            <w:r>
              <w:t>.零星的原住民在不扩大现有建设用地和耕地规模前提下，修缮生产生活设施，保留生活必需的少量种植、放牧、捕捞、养殖；</w:t>
            </w:r>
          </w:p>
          <w:p>
            <w:pPr>
              <w:widowControl/>
              <w:ind w:left="0" w:leftChars="0" w:right="0" w:rightChars="0"/>
              <w:textAlignment w:val="center"/>
            </w:pPr>
            <w:r>
              <w:rPr>
                <w:rFonts w:hint="eastAsia"/>
              </w:rPr>
              <w:t>8.在生态保护红线内的有限人为活动管理要求按照《自然资源部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ZH15072410013</w:t>
            </w:r>
          </w:p>
        </w:tc>
        <w:tc>
          <w:tcPr>
            <w:tcW w:w="1094" w:type="dxa"/>
            <w:vAlign w:val="center"/>
          </w:tcPr>
          <w:p>
            <w:pPr>
              <w:widowControl/>
              <w:ind w:left="0" w:leftChars="0" w:right="0" w:rightChars="0"/>
              <w:jc w:val="center"/>
              <w:rPr>
                <w:szCs w:val="21"/>
              </w:rPr>
            </w:pPr>
            <w:r>
              <w:rPr>
                <w:rFonts w:hint="eastAsia"/>
                <w:szCs w:val="21"/>
              </w:rPr>
              <w:t>内蒙古红花尔基樟子松国家级自然保护区(呼伦贝尔市红花尔基水库集中式饮用水水源地）</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w:t>
            </w:r>
            <w:r>
              <w:t>.零星的原住民在不扩大现有建设用地和耕地规模前提下，修缮生产生活设施，保留生活必需的少量种植、放牧、捕捞、养殖；</w:t>
            </w:r>
          </w:p>
          <w:p>
            <w:pPr>
              <w:widowControl/>
              <w:ind w:left="0" w:leftChars="0" w:right="0" w:rightChars="0"/>
              <w:textAlignment w:val="center"/>
            </w:pPr>
            <w:r>
              <w:rPr>
                <w:rFonts w:hint="eastAsia"/>
              </w:rPr>
              <w:t>8</w:t>
            </w:r>
            <w:r>
              <w:t>.在饮用水水源准保护区内，禁止下列行为：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rPr>
                <w:rFonts w:hint="eastAsia"/>
              </w:rPr>
              <w:t>9</w:t>
            </w:r>
            <w:r>
              <w:t>.在饮用水水源二级保护区内，除饮用水水源准保护区内禁止的行为外，还禁止下列行为：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rPr>
                <w:rFonts w:hint="eastAsia"/>
              </w:rPr>
              <w:t>10</w:t>
            </w:r>
            <w:r>
              <w:t>.在饮用水水源一级保护区内，除饮用水水源准保护区、二级保护区内禁止的行为外，还禁止下列行为：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rPr>
                <w:rFonts w:hint="eastAsia"/>
              </w:rPr>
              <w:t>11</w:t>
            </w:r>
            <w:r>
              <w:t>.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rPr>
                <w:rFonts w:hint="eastAsia"/>
              </w:rPr>
              <w:t>12</w:t>
            </w:r>
            <w:r>
              <w:t>. 在饮用水水源一级保护区内已建成的与供水设施和保护水源无关的建设项目，由旗县级以上人民政府责令拆除或者关闭。</w:t>
            </w:r>
          </w:p>
          <w:p>
            <w:pPr>
              <w:widowControl/>
              <w:ind w:left="0" w:leftChars="0" w:right="0" w:rightChars="0"/>
              <w:textAlignment w:val="center"/>
            </w:pPr>
            <w:r>
              <w:rPr>
                <w:rFonts w:hint="eastAsia"/>
              </w:rPr>
              <w:t>13.在生态保护红线内的有限人为活动管理要求按照《自然资源部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ZH15072410014</w:t>
            </w:r>
          </w:p>
        </w:tc>
        <w:tc>
          <w:tcPr>
            <w:tcW w:w="1094" w:type="dxa"/>
            <w:vAlign w:val="center"/>
          </w:tcPr>
          <w:p>
            <w:pPr>
              <w:widowControl/>
              <w:ind w:left="0" w:leftChars="0" w:right="0" w:rightChars="0"/>
              <w:jc w:val="center"/>
              <w:rPr>
                <w:szCs w:val="21"/>
              </w:rPr>
            </w:pPr>
            <w:r>
              <w:rPr>
                <w:szCs w:val="21"/>
              </w:rPr>
              <w:t>内蒙古莫和尔图国家湿地公园</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ind w:left="0" w:leftChars="0" w:right="0" w:rightChars="0"/>
              <w:textAlignment w:val="center"/>
            </w:pPr>
            <w:r>
              <w:t>3.湿地公园内的建设和活动，必须符合总体规划的要求；</w:t>
            </w:r>
          </w:p>
          <w:p>
            <w:pPr>
              <w:widowControl/>
              <w:ind w:left="0" w:leftChars="0" w:right="0" w:rightChars="0"/>
              <w:textAlignment w:val="bottom"/>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bottom"/>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Align w:val="center"/>
          </w:tcPr>
          <w:p>
            <w:pPr>
              <w:widowControl/>
              <w:ind w:left="0" w:leftChars="0" w:right="0" w:rightChars="0"/>
              <w:jc w:val="center"/>
              <w:rPr>
                <w:szCs w:val="21"/>
              </w:rPr>
            </w:pPr>
            <w:r>
              <w:rPr>
                <w:rFonts w:hint="eastAsia"/>
                <w:szCs w:val="21"/>
              </w:rPr>
              <w:t>ZH15072410015</w:t>
            </w:r>
          </w:p>
        </w:tc>
        <w:tc>
          <w:tcPr>
            <w:tcW w:w="1094" w:type="dxa"/>
            <w:vAlign w:val="center"/>
          </w:tcPr>
          <w:p>
            <w:pPr>
              <w:widowControl/>
              <w:ind w:left="0" w:leftChars="0" w:right="0" w:rightChars="0"/>
              <w:jc w:val="center"/>
              <w:rPr>
                <w:szCs w:val="21"/>
              </w:rPr>
            </w:pPr>
            <w:r>
              <w:rPr>
                <w:szCs w:val="21"/>
              </w:rPr>
              <w:t>内蒙古维纳河自治区级自然保护区</w:t>
            </w:r>
          </w:p>
        </w:tc>
        <w:tc>
          <w:tcPr>
            <w:tcW w:w="927" w:type="dxa"/>
            <w:vAlign w:val="center"/>
          </w:tcPr>
          <w:p>
            <w:pPr>
              <w:widowControl/>
              <w:ind w:left="0" w:leftChars="0" w:right="0" w:rightChars="0"/>
              <w:jc w:val="center"/>
              <w:rPr>
                <w:szCs w:val="21"/>
              </w:rPr>
            </w:pPr>
            <w:r>
              <w:rPr>
                <w:szCs w:val="21"/>
              </w:rPr>
              <w:t>优先保护单元</w:t>
            </w:r>
          </w:p>
        </w:tc>
        <w:tc>
          <w:tcPr>
            <w:tcW w:w="722"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w:t>
            </w:r>
            <w:r>
              <w:t>.</w:t>
            </w:r>
            <w:r>
              <w:rPr>
                <w:rFonts w:hint="eastAsia"/>
              </w:rPr>
              <w:t>零星的原住民在不扩大现有建设用地和耕地规模前提下，修缮生产生活设施，保留生活必需的少量种植、放牧、捕捞、养殖；</w:t>
            </w:r>
          </w:p>
          <w:p>
            <w:pPr>
              <w:widowControl/>
              <w:ind w:left="0" w:leftChars="0" w:right="0" w:rightChars="0"/>
              <w:textAlignment w:val="center"/>
            </w:pPr>
            <w:r>
              <w:rPr>
                <w:rFonts w:hint="eastAsia"/>
              </w:rPr>
              <w:t>8.在生态保护红线内的有限人为活动管理要求按照《自然资源部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szCs w:val="21"/>
              </w:rPr>
              <w:t>ZH15072420001</w:t>
            </w:r>
          </w:p>
        </w:tc>
        <w:tc>
          <w:tcPr>
            <w:tcW w:w="1094" w:type="dxa"/>
            <w:vMerge w:val="restart"/>
            <w:vAlign w:val="center"/>
          </w:tcPr>
          <w:p>
            <w:pPr>
              <w:widowControl/>
              <w:ind w:left="0" w:leftChars="0" w:right="0" w:rightChars="0"/>
              <w:jc w:val="center"/>
              <w:rPr>
                <w:szCs w:val="21"/>
              </w:rPr>
            </w:pPr>
            <w:r>
              <w:rPr>
                <w:rFonts w:hint="eastAsia"/>
                <w:szCs w:val="21"/>
              </w:rPr>
              <w:t>鄂温克旗</w:t>
            </w:r>
            <w:r>
              <w:rPr>
                <w:szCs w:val="21"/>
              </w:rPr>
              <w:t>大雁矿区</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2"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rFonts w:hint="eastAsia"/>
                <w:szCs w:val="21"/>
              </w:rPr>
              <w:t>ZH15072420002</w:t>
            </w:r>
          </w:p>
        </w:tc>
        <w:tc>
          <w:tcPr>
            <w:tcW w:w="1094" w:type="dxa"/>
            <w:vMerge w:val="restart"/>
            <w:vAlign w:val="center"/>
          </w:tcPr>
          <w:p>
            <w:pPr>
              <w:widowControl/>
              <w:ind w:left="0" w:leftChars="0" w:right="0" w:rightChars="0"/>
              <w:jc w:val="center"/>
              <w:rPr>
                <w:szCs w:val="21"/>
              </w:rPr>
            </w:pPr>
            <w:r>
              <w:rPr>
                <w:rFonts w:hint="eastAsia"/>
                <w:szCs w:val="21"/>
              </w:rPr>
              <w:t>鄂温克旗非金属矿</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2"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rFonts w:hint="eastAsia"/>
                <w:szCs w:val="21"/>
              </w:rPr>
              <w:t>ZH15072420003</w:t>
            </w:r>
          </w:p>
        </w:tc>
        <w:tc>
          <w:tcPr>
            <w:tcW w:w="1094" w:type="dxa"/>
            <w:vMerge w:val="restart"/>
            <w:vAlign w:val="center"/>
          </w:tcPr>
          <w:p>
            <w:pPr>
              <w:widowControl/>
              <w:ind w:left="0" w:leftChars="0" w:right="0" w:rightChars="0"/>
              <w:jc w:val="center"/>
              <w:rPr>
                <w:szCs w:val="21"/>
              </w:rPr>
            </w:pPr>
            <w:r>
              <w:rPr>
                <w:rFonts w:hint="eastAsia"/>
                <w:szCs w:val="21"/>
              </w:rPr>
              <w:t>鄂温克旗金属矿</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2"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rFonts w:hint="eastAsia"/>
                <w:szCs w:val="21"/>
              </w:rPr>
              <w:t>ZH15072420004</w:t>
            </w:r>
          </w:p>
        </w:tc>
        <w:tc>
          <w:tcPr>
            <w:tcW w:w="1094" w:type="dxa"/>
            <w:vMerge w:val="restart"/>
            <w:vAlign w:val="center"/>
          </w:tcPr>
          <w:p>
            <w:pPr>
              <w:widowControl/>
              <w:ind w:left="0" w:leftChars="0" w:right="0" w:rightChars="0"/>
              <w:jc w:val="center"/>
              <w:rPr>
                <w:szCs w:val="21"/>
              </w:rPr>
            </w:pPr>
            <w:r>
              <w:rPr>
                <w:rFonts w:hint="eastAsia"/>
                <w:szCs w:val="21"/>
              </w:rPr>
              <w:t>鄂温克旗煤矿</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2"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rFonts w:hint="eastAsia"/>
                <w:szCs w:val="21"/>
              </w:rPr>
              <w:t>ZH15072420005</w:t>
            </w:r>
          </w:p>
        </w:tc>
        <w:tc>
          <w:tcPr>
            <w:tcW w:w="1094" w:type="dxa"/>
            <w:vMerge w:val="restart"/>
            <w:vAlign w:val="center"/>
          </w:tcPr>
          <w:p>
            <w:pPr>
              <w:widowControl/>
              <w:ind w:left="0" w:leftChars="0" w:right="0" w:rightChars="0"/>
              <w:jc w:val="center"/>
              <w:rPr>
                <w:szCs w:val="21"/>
              </w:rPr>
            </w:pPr>
            <w:r>
              <w:rPr>
                <w:rFonts w:hint="eastAsia"/>
                <w:szCs w:val="21"/>
              </w:rPr>
              <w:t>鄂温克旗伊敏矿区（河东区）</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2"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rFonts w:hint="eastAsia"/>
                <w:szCs w:val="21"/>
              </w:rPr>
              <w:t>ZH15072420006</w:t>
            </w:r>
          </w:p>
        </w:tc>
        <w:tc>
          <w:tcPr>
            <w:tcW w:w="1094" w:type="dxa"/>
            <w:vMerge w:val="restart"/>
            <w:vAlign w:val="center"/>
          </w:tcPr>
          <w:p>
            <w:pPr>
              <w:widowControl/>
              <w:ind w:left="0" w:leftChars="0" w:right="0" w:rightChars="0"/>
              <w:jc w:val="center"/>
              <w:rPr>
                <w:szCs w:val="21"/>
              </w:rPr>
            </w:pPr>
            <w:r>
              <w:rPr>
                <w:rFonts w:hint="eastAsia"/>
                <w:szCs w:val="21"/>
              </w:rPr>
              <w:t>鄂温克旗伊敏矿区（河西区）</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2"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ZH1507242000</w:t>
            </w:r>
            <w:r>
              <w:rPr>
                <w:szCs w:val="21"/>
              </w:rPr>
              <w:t>7</w:t>
            </w:r>
          </w:p>
        </w:tc>
        <w:tc>
          <w:tcPr>
            <w:tcW w:w="1094" w:type="dxa"/>
            <w:vAlign w:val="center"/>
          </w:tcPr>
          <w:p>
            <w:pPr>
              <w:widowControl/>
              <w:ind w:left="0" w:leftChars="0" w:right="0" w:rightChars="0"/>
              <w:jc w:val="center"/>
              <w:rPr>
                <w:szCs w:val="21"/>
              </w:rPr>
            </w:pPr>
            <w:r>
              <w:rPr>
                <w:rFonts w:hint="eastAsia"/>
                <w:szCs w:val="21"/>
              </w:rPr>
              <w:t>鄂温克族自治旗大气环境弱扩散重点管控区</w:t>
            </w:r>
          </w:p>
        </w:tc>
        <w:tc>
          <w:tcPr>
            <w:tcW w:w="927" w:type="dxa"/>
            <w:vAlign w:val="center"/>
          </w:tcPr>
          <w:p>
            <w:pPr>
              <w:widowControl/>
              <w:ind w:left="0" w:leftChars="0" w:right="0" w:rightChars="0"/>
              <w:jc w:val="center"/>
              <w:rPr>
                <w:szCs w:val="21"/>
              </w:rPr>
            </w:pPr>
            <w:r>
              <w:rPr>
                <w:szCs w:val="21"/>
              </w:rPr>
              <w:t>重点管控单元</w:t>
            </w:r>
          </w:p>
        </w:tc>
        <w:tc>
          <w:tcPr>
            <w:tcW w:w="722" w:type="dxa"/>
            <w:vAlign w:val="center"/>
          </w:tcPr>
          <w:p>
            <w:pPr>
              <w:widowControl/>
              <w:adjustRightInd/>
              <w:snapToGrid/>
              <w:spacing w:line="240" w:lineRule="auto"/>
              <w:ind w:left="0" w:leftChars="0" w:right="0" w:rightChars="0"/>
              <w:jc w:val="center"/>
              <w:rPr>
                <w:szCs w:val="21"/>
              </w:rPr>
            </w:pPr>
            <w:r>
              <w:rPr>
                <w:rFonts w:hint="eastAsia"/>
                <w:szCs w:val="21"/>
              </w:rPr>
              <w:t>空间布局约束</w:t>
            </w:r>
          </w:p>
          <w:p>
            <w:pPr>
              <w:widowControl/>
              <w:ind w:left="0" w:leftChars="0" w:right="0" w:rightChars="0"/>
              <w:jc w:val="center"/>
              <w:rPr>
                <w:szCs w:val="21"/>
              </w:rPr>
            </w:pPr>
          </w:p>
        </w:tc>
        <w:tc>
          <w:tcPr>
            <w:tcW w:w="5652" w:type="dxa"/>
            <w:vAlign w:val="center"/>
          </w:tcPr>
          <w:p>
            <w:pPr>
              <w:widowControl/>
              <w:ind w:left="0" w:leftChars="0" w:right="0" w:rightChars="0"/>
              <w:textAlignment w:val="center"/>
            </w:pPr>
            <w:r>
              <w:rPr>
                <w:rFonts w:hint="eastAsia"/>
              </w:rPr>
              <w:t>科学制定并严格实施城市规划，规范各类产业园区及城市新城、新区设立和布局，进一步推进“多规合一”，形成有利于大气污染物扩散的城市和区域空间格局。</w:t>
            </w:r>
          </w:p>
          <w:p>
            <w:pPr>
              <w:widowControl/>
              <w:textAlignment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ZH15072420009</w:t>
            </w:r>
          </w:p>
        </w:tc>
        <w:tc>
          <w:tcPr>
            <w:tcW w:w="1094" w:type="dxa"/>
            <w:vAlign w:val="center"/>
          </w:tcPr>
          <w:p>
            <w:pPr>
              <w:widowControl/>
              <w:ind w:left="0" w:leftChars="0" w:right="0" w:rightChars="0"/>
              <w:jc w:val="center"/>
              <w:rPr>
                <w:szCs w:val="21"/>
              </w:rPr>
            </w:pPr>
            <w:r>
              <w:rPr>
                <w:rFonts w:hint="eastAsia"/>
                <w:szCs w:val="21"/>
              </w:rPr>
              <w:t>辉河呼伦贝尔市入伊敏河控制单元</w:t>
            </w:r>
          </w:p>
        </w:tc>
        <w:tc>
          <w:tcPr>
            <w:tcW w:w="927" w:type="dxa"/>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rPr>
                <w:rFonts w:hint="eastAsia"/>
              </w:rPr>
              <w:t>1.持续推进化肥农药减量增效，到2025年，实现全区主要农作物化肥、化学农药使用强度降低。提升秸秆综合利用率和农膜回收水平，到 2025 年，全区秸秆综合利用率达到 90%以上，废旧农膜回收率达到 85%。</w:t>
            </w:r>
          </w:p>
          <w:p>
            <w:pPr>
              <w:widowControl/>
              <w:ind w:left="0" w:leftChars="0" w:right="0" w:rightChars="0"/>
              <w:textAlignment w:val="center"/>
            </w:pPr>
            <w:r>
              <w:rPr>
                <w:rFonts w:hint="eastAsia"/>
              </w:rPr>
              <w:t>2.</w:t>
            </w:r>
            <w:r>
              <w:t>加强畜禽养殖污染防治</w:t>
            </w:r>
            <w:r>
              <w:rPr>
                <w:rFonts w:hint="eastAsia"/>
              </w:rPr>
              <w:t>，到2025年，规模养殖场粪污处理设施装备配套率达到95%以上，畜禽粪污综合利用率达到 90%以上</w:t>
            </w:r>
            <w:r>
              <w:t>。</w:t>
            </w:r>
          </w:p>
          <w:p>
            <w:pPr>
              <w:widowControl/>
              <w:ind w:left="0" w:leftChars="0" w:right="0" w:rightChars="0"/>
              <w:textAlignment w:val="center"/>
            </w:pPr>
            <w:r>
              <w:rPr>
                <w:rFonts w:hint="eastAsia"/>
              </w:rPr>
              <w:t>3.</w:t>
            </w:r>
            <w:r>
              <w:t>加强畜禽养殖污染环境监管</w:t>
            </w:r>
            <w:r>
              <w:rPr>
                <w:rFonts w:hint="eastAsia"/>
              </w:rPr>
              <w:t>，</w:t>
            </w:r>
            <w:r>
              <w:t>落实畜禽规模养殖场环境影响评价及排污许可制度</w:t>
            </w:r>
            <w:r>
              <w:rPr>
                <w:rFonts w:hint="eastAsia"/>
              </w:rPr>
              <w:t>。</w:t>
            </w:r>
          </w:p>
          <w:p>
            <w:pPr>
              <w:widowControl/>
              <w:ind w:left="0" w:leftChars="0" w:right="0" w:rightChars="0"/>
              <w:textAlignment w:val="center"/>
            </w:pPr>
            <w:r>
              <w:rPr>
                <w:rFonts w:hint="eastAsia"/>
              </w:rPr>
              <w:t>4.</w:t>
            </w:r>
            <w:r>
              <w:t>到2025 年，全市农村牧区生活污水治理率达到</w:t>
            </w:r>
            <w:r>
              <w:rPr>
                <w:rFonts w:hint="eastAsia"/>
              </w:rPr>
              <w:t>30%，呼伦湖周边农村牧区生活污水治理率达到60%，农村牧区黑臭水体整治率达到100%</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Align w:val="center"/>
          </w:tcPr>
          <w:p>
            <w:pPr>
              <w:widowControl/>
              <w:ind w:left="0" w:leftChars="0" w:right="0" w:rightChars="0"/>
              <w:jc w:val="center"/>
              <w:rPr>
                <w:szCs w:val="21"/>
              </w:rPr>
            </w:pPr>
            <w:r>
              <w:rPr>
                <w:rFonts w:hint="eastAsia"/>
                <w:szCs w:val="21"/>
              </w:rPr>
              <w:t>ZH15072420010</w:t>
            </w:r>
          </w:p>
        </w:tc>
        <w:tc>
          <w:tcPr>
            <w:tcW w:w="1094" w:type="dxa"/>
            <w:vAlign w:val="center"/>
          </w:tcPr>
          <w:p>
            <w:pPr>
              <w:widowControl/>
              <w:ind w:left="0" w:leftChars="0" w:right="0" w:rightChars="0"/>
              <w:jc w:val="center"/>
              <w:rPr>
                <w:szCs w:val="21"/>
              </w:rPr>
            </w:pPr>
            <w:r>
              <w:rPr>
                <w:szCs w:val="21"/>
              </w:rPr>
              <w:t>伊敏河呼伦贝尔市五牧场控制单元</w:t>
            </w:r>
          </w:p>
        </w:tc>
        <w:tc>
          <w:tcPr>
            <w:tcW w:w="927" w:type="dxa"/>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rPr>
                <w:rFonts w:hint="eastAsia"/>
              </w:rPr>
              <w:t>1.持续推进化肥农药减量增效，到2025年，实现全区主要农作物化肥、化学农药使用强度降低。提升秸秆综合利用率和农膜回收水平，到 2025 年，全区秸秆综合利用率达到 90%以上，废旧农膜回收率达到 85%。</w:t>
            </w:r>
          </w:p>
          <w:p>
            <w:pPr>
              <w:widowControl/>
              <w:ind w:left="0" w:leftChars="0" w:right="0" w:rightChars="0"/>
              <w:textAlignment w:val="center"/>
            </w:pPr>
            <w:r>
              <w:rPr>
                <w:rFonts w:hint="eastAsia"/>
              </w:rPr>
              <w:t>2.</w:t>
            </w:r>
            <w:r>
              <w:t>加强畜禽养殖污染防治</w:t>
            </w:r>
            <w:r>
              <w:rPr>
                <w:rFonts w:hint="eastAsia"/>
              </w:rPr>
              <w:t>，到2025年，规模养殖场粪污处理设施装备配套率达到95%以上，畜禽粪污综合利用率达到 90%以上</w:t>
            </w:r>
            <w:r>
              <w:t>。</w:t>
            </w:r>
          </w:p>
          <w:p>
            <w:pPr>
              <w:widowControl/>
              <w:ind w:left="0" w:leftChars="0" w:right="0" w:rightChars="0"/>
              <w:textAlignment w:val="center"/>
            </w:pPr>
            <w:r>
              <w:rPr>
                <w:rFonts w:hint="eastAsia"/>
              </w:rPr>
              <w:t>3.</w:t>
            </w:r>
            <w:r>
              <w:t>加强畜禽养殖污染环境监管</w:t>
            </w:r>
            <w:r>
              <w:rPr>
                <w:rFonts w:hint="eastAsia"/>
              </w:rPr>
              <w:t>，</w:t>
            </w:r>
            <w:r>
              <w:t>落实畜禽规模养殖场环境影响评价及排污许可制度</w:t>
            </w:r>
            <w:r>
              <w:rPr>
                <w:rFonts w:hint="eastAsia"/>
              </w:rPr>
              <w:t>。</w:t>
            </w:r>
          </w:p>
          <w:p>
            <w:pPr>
              <w:widowControl/>
              <w:ind w:left="0" w:leftChars="0" w:right="0" w:rightChars="0"/>
              <w:textAlignment w:val="center"/>
            </w:pPr>
            <w:r>
              <w:rPr>
                <w:rFonts w:hint="eastAsia"/>
              </w:rPr>
              <w:t>4.</w:t>
            </w:r>
            <w:r>
              <w:t>到2025 年，全市农村牧区生活污水治理率达到</w:t>
            </w:r>
            <w:r>
              <w:rPr>
                <w:rFonts w:hint="eastAsia"/>
              </w:rPr>
              <w:t>30%，呼伦湖周边农村牧区生活污水治理率达到60%，农村牧区黑臭水体整治率达到100%</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restart"/>
            <w:vAlign w:val="center"/>
          </w:tcPr>
          <w:p>
            <w:pPr>
              <w:widowControl/>
              <w:ind w:left="0" w:leftChars="0" w:right="0" w:rightChars="0"/>
              <w:jc w:val="center"/>
              <w:rPr>
                <w:szCs w:val="21"/>
              </w:rPr>
            </w:pPr>
            <w:r>
              <w:rPr>
                <w:kern w:val="0"/>
                <w:szCs w:val="21"/>
                <w:lang w:bidi="ar"/>
              </w:rPr>
              <w:t>ZH15072420011</w:t>
            </w:r>
          </w:p>
        </w:tc>
        <w:tc>
          <w:tcPr>
            <w:tcW w:w="1094" w:type="dxa"/>
            <w:vMerge w:val="restart"/>
            <w:vAlign w:val="center"/>
          </w:tcPr>
          <w:p>
            <w:pPr>
              <w:widowControl/>
              <w:ind w:left="0" w:leftChars="0" w:right="0" w:rightChars="0"/>
              <w:jc w:val="center"/>
              <w:rPr>
                <w:szCs w:val="21"/>
              </w:rPr>
            </w:pPr>
            <w:r>
              <w:rPr>
                <w:kern w:val="0"/>
                <w:szCs w:val="21"/>
                <w:lang w:bidi="ar"/>
              </w:rPr>
              <w:t>鄂温克族自治旗城镇空间</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1.扩大城镇集中供热覆盖范围，加大燃煤小锅炉淘汰力度，鼓励采取太阳能、风能多能互补清洁取暖，旗市区城市建成区原则上不再新建35t/h</w:t>
            </w:r>
            <w:r>
              <w:rPr>
                <w:rFonts w:hint="eastAsia"/>
              </w:rPr>
              <w:t>及</w:t>
            </w:r>
            <w:r>
              <w:t>以下燃煤锅炉。</w:t>
            </w:r>
          </w:p>
          <w:p>
            <w:pPr>
              <w:pStyle w:val="2"/>
              <w:widowControl/>
              <w:ind w:left="0" w:leftChars="0" w:right="0" w:rightChars="0" w:firstLine="0"/>
              <w:textAlignment w:val="center"/>
            </w:pPr>
            <w: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1.提升城镇生活污水收集管网覆盖率，逐步实施雨污管网分流改造、管网更新、破损修复、中水回用等工程。</w:t>
            </w:r>
          </w:p>
          <w:p>
            <w:pPr>
              <w:pStyle w:val="2"/>
              <w:widowControl/>
              <w:ind w:left="0" w:leftChars="0" w:right="0" w:rightChars="0" w:firstLine="0"/>
              <w:textAlignment w:val="center"/>
            </w:pPr>
            <w: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szCs w:val="21"/>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2" w:type="dxa"/>
            <w:vAlign w:val="center"/>
          </w:tcPr>
          <w:p>
            <w:pPr>
              <w:widowControl/>
              <w:ind w:left="0" w:leftChars="0" w:right="0" w:rightChars="0"/>
              <w:textAlignment w:val="center"/>
            </w:pPr>
            <w:r>
              <w:rPr>
                <w:rFonts w:hint="eastAsia"/>
              </w:rPr>
              <w:t>1</w:t>
            </w:r>
            <w:r>
              <w:t>.高污染燃料禁燃区内禁止销售、燃用高污染燃料。禁止新建、改建、扩建任何燃用高污染燃料的项目和设备。已建成使用的高污染燃料的各类设备应拆除或改用管道天然气、页岩气、液化石油气、电或其他清洁能源；在不具备使用清洁能源条件的区域，可使用配备专用锅炉和除尘装置的生物质成型燃料。现有燃用高污染燃料设备在拆除或改造之前，有关单位和个人应当采取措施，确保排放的大气污染物达到国家和地方规定的大气污染物排放标准。</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szCs w:val="21"/>
              </w:rPr>
              <w:t>ZH15072420012</w:t>
            </w:r>
          </w:p>
        </w:tc>
        <w:tc>
          <w:tcPr>
            <w:tcW w:w="1094" w:type="dxa"/>
            <w:vMerge w:val="restart"/>
            <w:vAlign w:val="center"/>
          </w:tcPr>
          <w:p>
            <w:pPr>
              <w:widowControl/>
              <w:ind w:left="0" w:leftChars="0" w:right="0" w:rightChars="0"/>
              <w:jc w:val="center"/>
              <w:rPr>
                <w:szCs w:val="21"/>
              </w:rPr>
            </w:pPr>
            <w:r>
              <w:rPr>
                <w:kern w:val="0"/>
                <w:sz w:val="20"/>
                <w:szCs w:val="20"/>
                <w:lang w:bidi="ar"/>
              </w:rPr>
              <w:t>呼伦贝尔经济技术开发区鄂温克产业园</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1.国家明令淘汰的落后产能和不符合国家产业政策的项目，严禁向工业园区转移。工业园区主导产业中不包含化工行业的，一律不得引进危险化学品生产项目。</w:t>
            </w:r>
          </w:p>
          <w:p>
            <w:pPr>
              <w:widowControl/>
              <w:ind w:left="0" w:leftChars="0" w:right="0" w:rightChars="0"/>
              <w:textAlignment w:val="center"/>
            </w:pPr>
            <w:r>
              <w:t>2.非开发区产业定位方向的项目一律不得入开发区，杜绝高污染、高风险和高投入、低产出的项目进入开发区。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kern w:val="0"/>
                <w:sz w:val="20"/>
                <w:szCs w:val="20"/>
                <w:lang w:bidi="ar"/>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w:t>
            </w:r>
            <w:r>
              <w:rPr>
                <w:rFonts w:hint="eastAsia"/>
              </w:rPr>
              <w:t>园区应采取自建或依托现有设施等方式，科学合理设置污水处理厂，确保园区废水排放满足环境管理相关要求。</w:t>
            </w:r>
          </w:p>
          <w:p>
            <w:pPr>
              <w:widowControl/>
              <w:ind w:left="0" w:leftChars="0" w:right="0" w:rightChars="0"/>
              <w:textAlignment w:val="center"/>
            </w:pPr>
            <w:r>
              <w:t>2.园区采用集中供热，新入开发区企业不得自建采暖锅炉，入开发区企业工艺废气须经有效处理后达标排放，并严格控制各类废气无组织排放，尽可能变无组织为有组织排放。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kern w:val="0"/>
                <w:sz w:val="20"/>
                <w:szCs w:val="20"/>
                <w:lang w:bidi="ar"/>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1.完善环境风险防控体系。全面落实园区、企业环境风险应急预案各项要求，增强突发环境事件处置能力。开展涉危涉化企业、有风险隐患的渣场等风险排查和整改工作，及时消除隐患。</w:t>
            </w:r>
          </w:p>
          <w:p>
            <w:pPr>
              <w:widowControl/>
              <w:ind w:left="0" w:leftChars="0" w:right="0" w:rightChars="0"/>
              <w:textAlignment w:val="center"/>
            </w:pPr>
            <w:r>
              <w:t>2.切实加强园区环境安全管理工作，制订危险化学品的登记管理制度，在基础设施和企业生产运营管理中须制定并落实严格的环境风险防范措施和事故应急预案，区内各危险化学品库区及使用危险化学品的生产装置周边须设置物料泄漏应急截流沟，防止泄漏物料进入环境，并储备事故应急设备物资，定期组织实战演练，确保环境安全。</w:t>
            </w:r>
          </w:p>
          <w:p>
            <w:pPr>
              <w:widowControl/>
              <w:ind w:left="0" w:leftChars="0" w:right="0" w:rightChars="0"/>
              <w:textAlignment w:val="center"/>
            </w:pPr>
            <w:r>
              <w:t>3.按要求建设园区隔离带、绿化防护带和风险事故水池等设施。污水处理厂及排放工业废水的企业均须设置足够容量的事故污水池。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kern w:val="0"/>
                <w:sz w:val="20"/>
                <w:szCs w:val="20"/>
                <w:lang w:bidi="ar"/>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szCs w:val="21"/>
              </w:rPr>
            </w:pPr>
            <w:r>
              <w:rPr>
                <w:kern w:val="0"/>
                <w:szCs w:val="21"/>
                <w:lang w:bidi="ar"/>
              </w:rPr>
              <w:t>资源利用效率要求</w:t>
            </w:r>
          </w:p>
        </w:tc>
        <w:tc>
          <w:tcPr>
            <w:tcW w:w="5652" w:type="dxa"/>
            <w:vAlign w:val="center"/>
          </w:tcPr>
          <w:p>
            <w:pPr>
              <w:widowControl/>
              <w:ind w:left="0" w:leftChars="0" w:right="0" w:rightChars="0"/>
              <w:textAlignment w:val="center"/>
            </w:pPr>
            <w:r>
              <w:t>1.新、改、扩建的高耗水工业项目，禁止擅自使用地下水。优先配置利用中水和疏干水等作为生产水源；具备使用非常规水源条件的园区，限期关闭企业生产用地下水自备水井。</w:t>
            </w:r>
          </w:p>
          <w:p>
            <w:pPr>
              <w:widowControl/>
              <w:ind w:left="0" w:leftChars="0" w:right="0" w:rightChars="0"/>
              <w:textAlignment w:val="center"/>
            </w:pPr>
            <w:r>
              <w:t>2.实行地下水取用水总量控制和水位控制制度。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restart"/>
            <w:vAlign w:val="center"/>
          </w:tcPr>
          <w:p>
            <w:pPr>
              <w:widowControl/>
              <w:ind w:left="0" w:leftChars="0" w:right="0" w:rightChars="0"/>
              <w:jc w:val="center"/>
              <w:rPr>
                <w:szCs w:val="21"/>
              </w:rPr>
            </w:pPr>
            <w:r>
              <w:rPr>
                <w:szCs w:val="21"/>
              </w:rPr>
              <w:t>ZH15072420008</w:t>
            </w:r>
          </w:p>
        </w:tc>
        <w:tc>
          <w:tcPr>
            <w:tcW w:w="1094" w:type="dxa"/>
            <w:vMerge w:val="restart"/>
            <w:vAlign w:val="center"/>
          </w:tcPr>
          <w:p>
            <w:pPr>
              <w:widowControl/>
              <w:ind w:left="0" w:leftChars="0" w:right="0" w:rightChars="0"/>
              <w:jc w:val="center"/>
              <w:rPr>
                <w:kern w:val="0"/>
                <w:sz w:val="20"/>
                <w:szCs w:val="20"/>
                <w:lang w:bidi="ar"/>
              </w:rPr>
            </w:pPr>
            <w:r>
              <w:rPr>
                <w:kern w:val="0"/>
                <w:sz w:val="20"/>
                <w:szCs w:val="20"/>
                <w:lang w:bidi="ar"/>
              </w:rPr>
              <w:t>呼伦贝尔经济技术开发区伊敏产业园</w:t>
            </w:r>
          </w:p>
        </w:tc>
        <w:tc>
          <w:tcPr>
            <w:tcW w:w="927" w:type="dxa"/>
            <w:vMerge w:val="restart"/>
            <w:vAlign w:val="center"/>
          </w:tcPr>
          <w:p>
            <w:pPr>
              <w:widowControl/>
              <w:ind w:left="0" w:leftChars="0" w:right="0" w:rightChars="0"/>
              <w:jc w:val="center"/>
              <w:rPr>
                <w:szCs w:val="21"/>
              </w:rPr>
            </w:pPr>
            <w:r>
              <w:rPr>
                <w:szCs w:val="21"/>
              </w:rPr>
              <w:t>重点管控单元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1.国家明令淘汰的落后产能和不符合国家产业政策的项目，严禁向工业园区转移。工业园区主导产业中不包含化工行业的，一律不得引进危险化学品生产项目。</w:t>
            </w:r>
          </w:p>
          <w:p>
            <w:pPr>
              <w:widowControl/>
              <w:ind w:left="0" w:leftChars="0" w:right="0" w:rightChars="0"/>
              <w:textAlignment w:val="center"/>
            </w:pPr>
            <w:r>
              <w:t>2.园区内一律不得新建晾晒池、蒸发塘。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kern w:val="0"/>
                <w:sz w:val="20"/>
                <w:szCs w:val="20"/>
                <w:lang w:bidi="ar"/>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kern w:val="0"/>
                <w:szCs w:val="21"/>
                <w:lang w:bidi="ar"/>
              </w:rPr>
              <w:t>污染物排放管控</w:t>
            </w:r>
          </w:p>
        </w:tc>
        <w:tc>
          <w:tcPr>
            <w:tcW w:w="5652" w:type="dxa"/>
            <w:vAlign w:val="center"/>
          </w:tcPr>
          <w:p>
            <w:pPr>
              <w:widowControl/>
              <w:ind w:left="0" w:leftChars="0" w:right="0" w:rightChars="0"/>
              <w:textAlignment w:val="center"/>
            </w:pPr>
            <w:r>
              <w:t>1.新建排放重金属污染物的建设项目全面执行重金属重点污染物特别排放限值。</w:t>
            </w:r>
          </w:p>
          <w:p>
            <w:pPr>
              <w:ind w:left="0" w:leftChars="0" w:right="0" w:rightChars="0"/>
              <w:textAlignment w:val="center"/>
            </w:pPr>
            <w:r>
              <w:t>2.加大分散燃煤小锅炉淘汰力度，加快集中供热及配套管网建设进度。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kern w:val="0"/>
                <w:sz w:val="20"/>
                <w:szCs w:val="20"/>
                <w:lang w:bidi="ar"/>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kern w:val="0"/>
                <w:szCs w:val="21"/>
                <w:lang w:bidi="ar"/>
              </w:rPr>
            </w:pPr>
            <w:r>
              <w:rPr>
                <w:szCs w:val="21"/>
              </w:rPr>
              <w:t>环境风险防控</w:t>
            </w:r>
          </w:p>
        </w:tc>
        <w:tc>
          <w:tcPr>
            <w:tcW w:w="5652" w:type="dxa"/>
            <w:vAlign w:val="center"/>
          </w:tcPr>
          <w:p>
            <w:pPr>
              <w:widowControl/>
              <w:ind w:left="0" w:leftChars="0" w:right="0" w:rightChars="0"/>
              <w:textAlignment w:val="center"/>
            </w:pPr>
            <w:r>
              <w:t>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8" w:type="dxa"/>
            <w:vMerge w:val="continue"/>
            <w:vAlign w:val="center"/>
          </w:tcPr>
          <w:p>
            <w:pPr>
              <w:widowControl/>
              <w:ind w:left="0" w:leftChars="0" w:right="0" w:rightChars="0"/>
              <w:jc w:val="center"/>
              <w:rPr>
                <w:szCs w:val="21"/>
              </w:rPr>
            </w:pPr>
          </w:p>
        </w:tc>
        <w:tc>
          <w:tcPr>
            <w:tcW w:w="1094" w:type="dxa"/>
            <w:vMerge w:val="continue"/>
            <w:vAlign w:val="center"/>
          </w:tcPr>
          <w:p>
            <w:pPr>
              <w:widowControl/>
              <w:ind w:left="0" w:leftChars="0" w:right="0" w:rightChars="0"/>
              <w:jc w:val="center"/>
              <w:rPr>
                <w:kern w:val="0"/>
                <w:sz w:val="20"/>
                <w:szCs w:val="20"/>
                <w:lang w:bidi="ar"/>
              </w:rPr>
            </w:pPr>
          </w:p>
        </w:tc>
        <w:tc>
          <w:tcPr>
            <w:tcW w:w="927" w:type="dxa"/>
            <w:vMerge w:val="continue"/>
            <w:vAlign w:val="center"/>
          </w:tcPr>
          <w:p>
            <w:pPr>
              <w:widowControl/>
              <w:ind w:left="0" w:leftChars="0" w:right="0" w:rightChars="0"/>
              <w:jc w:val="center"/>
              <w:rPr>
                <w:szCs w:val="21"/>
              </w:rPr>
            </w:pPr>
          </w:p>
        </w:tc>
        <w:tc>
          <w:tcPr>
            <w:tcW w:w="722" w:type="dxa"/>
            <w:vAlign w:val="center"/>
          </w:tcPr>
          <w:p>
            <w:pPr>
              <w:widowControl/>
              <w:ind w:left="0" w:leftChars="0" w:right="0" w:rightChars="0"/>
              <w:jc w:val="center"/>
              <w:rPr>
                <w:szCs w:val="21"/>
              </w:rPr>
            </w:pPr>
            <w:r>
              <w:rPr>
                <w:kern w:val="0"/>
                <w:szCs w:val="21"/>
                <w:lang w:bidi="ar"/>
              </w:rPr>
              <w:t>资源利用效率要求</w:t>
            </w:r>
          </w:p>
        </w:tc>
        <w:tc>
          <w:tcPr>
            <w:tcW w:w="5652" w:type="dxa"/>
            <w:vAlign w:val="center"/>
          </w:tcPr>
          <w:p>
            <w:pPr>
              <w:widowControl/>
              <w:ind w:left="0" w:leftChars="0" w:right="0" w:rightChars="0"/>
              <w:textAlignment w:val="center"/>
            </w:pPr>
            <w:r>
              <w:t>1.限制高耗能企业入区。</w:t>
            </w:r>
          </w:p>
          <w:p>
            <w:pPr>
              <w:widowControl/>
              <w:ind w:left="0" w:leftChars="0" w:right="0" w:rightChars="0"/>
              <w:textAlignment w:val="center"/>
            </w:pPr>
            <w:r>
              <w:t>2.新、改、扩建的高耗水工业项目，禁止擅自使用地下水。优先配置利用中水和疏干水等作为生产水源；具备使用非常规水源条件的园区，限期关闭企业生产用地下水自备水井。</w:t>
            </w:r>
          </w:p>
          <w:p>
            <w:pPr>
              <w:widowControl/>
              <w:ind w:left="0" w:leftChars="0" w:right="0" w:rightChars="0"/>
              <w:jc w:val="left"/>
            </w:pPr>
            <w:r>
              <w:t>3.实行地下水取用水总量控制和水位控制制度。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98" w:type="dxa"/>
            <w:vAlign w:val="center"/>
          </w:tcPr>
          <w:p>
            <w:pPr>
              <w:widowControl/>
              <w:ind w:left="0" w:leftChars="0" w:right="0" w:rightChars="0"/>
              <w:jc w:val="center"/>
              <w:rPr>
                <w:kern w:val="0"/>
                <w:szCs w:val="21"/>
                <w:lang w:bidi="ar"/>
              </w:rPr>
            </w:pPr>
            <w:r>
              <w:rPr>
                <w:kern w:val="0"/>
                <w:szCs w:val="21"/>
                <w:lang w:bidi="ar"/>
              </w:rPr>
              <w:t>ZH15072430001</w:t>
            </w:r>
          </w:p>
        </w:tc>
        <w:tc>
          <w:tcPr>
            <w:tcW w:w="1094" w:type="dxa"/>
            <w:vAlign w:val="center"/>
          </w:tcPr>
          <w:p>
            <w:pPr>
              <w:widowControl/>
              <w:ind w:left="0" w:leftChars="0" w:right="0" w:rightChars="0"/>
              <w:jc w:val="center"/>
              <w:rPr>
                <w:kern w:val="0"/>
                <w:szCs w:val="21"/>
                <w:lang w:bidi="ar"/>
              </w:rPr>
            </w:pPr>
            <w:r>
              <w:rPr>
                <w:kern w:val="0"/>
                <w:szCs w:val="21"/>
                <w:lang w:bidi="ar"/>
              </w:rPr>
              <w:t>鄂温克族自治旗一般管控单元</w:t>
            </w:r>
          </w:p>
        </w:tc>
        <w:tc>
          <w:tcPr>
            <w:tcW w:w="927" w:type="dxa"/>
            <w:vAlign w:val="center"/>
          </w:tcPr>
          <w:p>
            <w:pPr>
              <w:widowControl/>
              <w:ind w:left="0" w:leftChars="0" w:right="0" w:rightChars="0"/>
              <w:jc w:val="center"/>
              <w:rPr>
                <w:szCs w:val="21"/>
              </w:rPr>
            </w:pPr>
            <w:r>
              <w:rPr>
                <w:szCs w:val="21"/>
              </w:rPr>
              <w:t>一般管控单元</w:t>
            </w:r>
          </w:p>
        </w:tc>
        <w:tc>
          <w:tcPr>
            <w:tcW w:w="722" w:type="dxa"/>
            <w:vAlign w:val="center"/>
          </w:tcPr>
          <w:p>
            <w:pPr>
              <w:widowControl/>
              <w:ind w:left="0" w:leftChars="0" w:right="0" w:rightChars="0"/>
              <w:jc w:val="center"/>
              <w:rPr>
                <w:kern w:val="0"/>
                <w:szCs w:val="21"/>
                <w:lang w:bidi="ar"/>
              </w:rPr>
            </w:pPr>
            <w:r>
              <w:rPr>
                <w:kern w:val="0"/>
                <w:szCs w:val="21"/>
                <w:lang w:bidi="ar"/>
              </w:rPr>
              <w:t>空间布局约束</w:t>
            </w:r>
          </w:p>
        </w:tc>
        <w:tc>
          <w:tcPr>
            <w:tcW w:w="5652" w:type="dxa"/>
            <w:vAlign w:val="center"/>
          </w:tcPr>
          <w:p>
            <w:pPr>
              <w:widowControl/>
              <w:ind w:left="0" w:leftChars="0" w:right="0" w:rightChars="0"/>
              <w:textAlignment w:val="center"/>
            </w:pPr>
            <w: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pPr>
            <w: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52" w:name="_Toc142233287"/>
      <w:r>
        <w:rPr>
          <w:rFonts w:ascii="Times New Roman" w:hAnsi="Times New Roman" w:eastAsia="仿宋_GB2312"/>
        </w:rPr>
        <w:t>（十一）呼伦贝尔市陈巴尔虎旗生态环境准入清单</w:t>
      </w:r>
      <w:bookmarkEnd w:id="52"/>
    </w:p>
    <w:p>
      <w:pPr>
        <w:adjustRightInd/>
        <w:snapToGrid/>
        <w:spacing w:line="500" w:lineRule="exact"/>
        <w:ind w:left="0" w:leftChars="0" w:right="0" w:rightChars="0"/>
        <w:jc w:val="center"/>
        <w:rPr>
          <w:b/>
          <w:bCs/>
          <w:sz w:val="28"/>
          <w:szCs w:val="28"/>
        </w:rPr>
      </w:pPr>
      <w:r>
        <w:rPr>
          <w:b/>
          <w:bCs/>
          <w:sz w:val="28"/>
          <w:szCs w:val="28"/>
        </w:rPr>
        <w:t>表11呼伦贝尔市陈巴尔虎旗生态环境准入清单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2"/>
        <w:gridCol w:w="1656"/>
        <w:gridCol w:w="1402"/>
        <w:gridCol w:w="1051"/>
        <w:gridCol w:w="8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108" w:type="dxa"/>
            <w:vAlign w:val="center"/>
          </w:tcPr>
          <w:p>
            <w:pPr>
              <w:widowControl/>
              <w:ind w:left="0" w:leftChars="0" w:right="0" w:rightChars="0"/>
              <w:jc w:val="center"/>
              <w:rPr>
                <w:b/>
                <w:bCs/>
                <w:szCs w:val="21"/>
              </w:rPr>
            </w:pPr>
            <w:r>
              <w:rPr>
                <w:b/>
                <w:bCs/>
                <w:szCs w:val="21"/>
              </w:rPr>
              <w:t>环境管控单元名称</w:t>
            </w:r>
          </w:p>
        </w:tc>
        <w:tc>
          <w:tcPr>
            <w:tcW w:w="938" w:type="dxa"/>
            <w:vAlign w:val="center"/>
          </w:tcPr>
          <w:p>
            <w:pPr>
              <w:widowControl/>
              <w:ind w:left="0" w:leftChars="0" w:right="0" w:rightChars="0"/>
              <w:jc w:val="center"/>
              <w:rPr>
                <w:b/>
                <w:bCs/>
                <w:szCs w:val="21"/>
              </w:rPr>
            </w:pPr>
            <w:r>
              <w:rPr>
                <w:b/>
                <w:bCs/>
                <w:szCs w:val="21"/>
              </w:rPr>
              <w:t>管控单元类别</w:t>
            </w:r>
          </w:p>
        </w:tc>
        <w:tc>
          <w:tcPr>
            <w:tcW w:w="6366"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ZH15072510001</w:t>
            </w:r>
          </w:p>
        </w:tc>
        <w:tc>
          <w:tcPr>
            <w:tcW w:w="1108" w:type="dxa"/>
            <w:vAlign w:val="center"/>
          </w:tcPr>
          <w:p>
            <w:pPr>
              <w:widowControl/>
              <w:ind w:left="0" w:leftChars="0" w:right="0" w:rightChars="0"/>
              <w:jc w:val="center"/>
              <w:rPr>
                <w:szCs w:val="21"/>
              </w:rPr>
            </w:pPr>
            <w:r>
              <w:rPr>
                <w:rFonts w:hint="eastAsia"/>
                <w:szCs w:val="21"/>
              </w:rPr>
              <w:t>大兴安岭水源涵养和生物多样性维护生态保护红线</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jc w:val="left"/>
              <w:textAlignment w:val="center"/>
            </w:pPr>
            <w:r>
              <w:t>2.禁止新建高水资源消耗产业；</w:t>
            </w:r>
          </w:p>
          <w:p>
            <w:pPr>
              <w:widowControl/>
              <w:ind w:left="0" w:leftChars="0" w:right="0" w:rightChars="0"/>
              <w:textAlignment w:val="center"/>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jc w:val="left"/>
              <w:textAlignment w:val="center"/>
            </w:pPr>
            <w:r>
              <w:t>4.禁止生物多样性维护生态功能区的大规模水电开发和林纸一体化产业发展</w:t>
            </w:r>
            <w:r>
              <w:rPr>
                <w:rFonts w:hint="eastAsia"/>
              </w:rPr>
              <w:t>；</w:t>
            </w:r>
          </w:p>
          <w:p>
            <w:pPr>
              <w:widowControl/>
              <w:ind w:left="0" w:leftChars="0" w:right="0" w:rightChars="0"/>
              <w:jc w:val="left"/>
              <w:textAlignment w:val="cente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ZH15072510002</w:t>
            </w:r>
          </w:p>
        </w:tc>
        <w:tc>
          <w:tcPr>
            <w:tcW w:w="1108" w:type="dxa"/>
            <w:vAlign w:val="center"/>
          </w:tcPr>
          <w:p>
            <w:pPr>
              <w:widowControl/>
              <w:ind w:left="0" w:leftChars="0" w:right="0" w:rightChars="0"/>
              <w:jc w:val="center"/>
              <w:rPr>
                <w:szCs w:val="21"/>
              </w:rPr>
            </w:pPr>
            <w:r>
              <w:rPr>
                <w:rFonts w:hint="eastAsia"/>
                <w:szCs w:val="21"/>
              </w:rPr>
              <w:t>呼伦贝尔草原生物多样性维护和防风固沙生态保护红线</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szCs w:val="21"/>
              </w:rPr>
            </w:pPr>
            <w:r>
              <w:rPr>
                <w:kern w:val="0"/>
                <w:szCs w:val="21"/>
                <w:lang w:bidi="ar"/>
              </w:rPr>
              <w:t>空间布局约束</w:t>
            </w:r>
          </w:p>
        </w:tc>
        <w:tc>
          <w:tcPr>
            <w:tcW w:w="5663"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2.禁止生物多样性维护生态功能区的大规模水电开发和林纸一体化产业发展；</w:t>
            </w:r>
          </w:p>
          <w:p>
            <w:pPr>
              <w:widowControl/>
              <w:ind w:left="0" w:leftChars="0" w:right="0" w:rightChars="0"/>
              <w:textAlignment w:val="center"/>
            </w:pPr>
            <w:r>
              <w:t>3.降低防风固沙生态功能区的农牧业开发强度；禁止过度开垦、不适当樵采和超载过牧，退牧还草，防治草场退化沙化；</w:t>
            </w:r>
          </w:p>
          <w:p>
            <w:pPr>
              <w:pStyle w:val="2"/>
              <w:ind w:left="0" w:leftChars="0" w:firstLine="0"/>
            </w:pPr>
            <w:r>
              <w:t>4.转变畜牧业生产方式，实行禁牧休牧，推行舍饲圈养，以草定畜，严格控制载畜量。加大退耕还林、退牧还草力度，恢复草原植被。加强对内陆河流的规划和管理，保护沙区湿地，禁止发展高耗水工业。对主要沙尘源区、沙尘暴频发区实行封禁管理</w:t>
            </w:r>
            <w:r>
              <w:rPr>
                <w:rFonts w:hint="eastAsia"/>
              </w:rPr>
              <w:t>；</w:t>
            </w:r>
          </w:p>
          <w:p>
            <w:pPr>
              <w:widowControl/>
              <w:ind w:left="0" w:leftChars="0" w:right="0" w:rightChars="0"/>
              <w:jc w:val="left"/>
              <w:textAlignment w:val="center"/>
            </w:pPr>
            <w:r>
              <w:rPr>
                <w:rFonts w:hint="eastAsia"/>
              </w:rPr>
              <w:t>5.</w:t>
            </w:r>
            <w:r>
              <w:t>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ind w:left="0" w:leftChars="0" w:right="0" w:rightChars="0"/>
              <w:jc w:val="center"/>
              <w:rPr>
                <w:szCs w:val="21"/>
              </w:rPr>
            </w:pPr>
            <w:r>
              <w:rPr>
                <w:rFonts w:hint="eastAsia"/>
                <w:szCs w:val="21"/>
              </w:rPr>
              <w:t>ZH15072510003</w:t>
            </w:r>
          </w:p>
        </w:tc>
        <w:tc>
          <w:tcPr>
            <w:tcW w:w="1108" w:type="dxa"/>
            <w:vAlign w:val="center"/>
          </w:tcPr>
          <w:p>
            <w:pPr>
              <w:widowControl/>
              <w:ind w:left="0" w:leftChars="0" w:right="0" w:rightChars="0"/>
              <w:jc w:val="center"/>
              <w:rPr>
                <w:szCs w:val="21"/>
              </w:rPr>
            </w:pPr>
            <w:r>
              <w:rPr>
                <w:szCs w:val="21"/>
              </w:rPr>
              <w:t>内蒙古辉河国家级自然保护区</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jc w:val="left"/>
              <w:textAlignment w:val="cente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ZH15072510004</w:t>
            </w:r>
          </w:p>
        </w:tc>
        <w:tc>
          <w:tcPr>
            <w:tcW w:w="1108" w:type="dxa"/>
            <w:vAlign w:val="center"/>
          </w:tcPr>
          <w:p>
            <w:pPr>
              <w:widowControl/>
              <w:ind w:left="0" w:leftChars="0" w:right="0" w:rightChars="0"/>
              <w:jc w:val="center"/>
              <w:rPr>
                <w:szCs w:val="21"/>
              </w:rPr>
            </w:pPr>
            <w:r>
              <w:rPr>
                <w:szCs w:val="21"/>
              </w:rPr>
              <w:t>内蒙古海拉尔国家森林公园</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ZH15072510005</w:t>
            </w:r>
          </w:p>
        </w:tc>
        <w:tc>
          <w:tcPr>
            <w:tcW w:w="1108" w:type="dxa"/>
            <w:vAlign w:val="center"/>
          </w:tcPr>
          <w:p>
            <w:pPr>
              <w:widowControl/>
              <w:ind w:left="0" w:leftChars="0" w:right="0" w:rightChars="0"/>
              <w:jc w:val="center"/>
              <w:rPr>
                <w:szCs w:val="21"/>
              </w:rPr>
            </w:pPr>
            <w:r>
              <w:rPr>
                <w:szCs w:val="21"/>
              </w:rPr>
              <w:t>陈巴尔虎旗巴彦库仁镇第二饮用水水源地</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ZH15072510006</w:t>
            </w:r>
          </w:p>
        </w:tc>
        <w:tc>
          <w:tcPr>
            <w:tcW w:w="1108" w:type="dxa"/>
            <w:vAlign w:val="center"/>
          </w:tcPr>
          <w:p>
            <w:pPr>
              <w:widowControl/>
              <w:ind w:left="0" w:leftChars="0" w:right="0" w:rightChars="0"/>
              <w:jc w:val="center"/>
              <w:rPr>
                <w:szCs w:val="21"/>
              </w:rPr>
            </w:pPr>
            <w:r>
              <w:rPr>
                <w:rFonts w:hint="eastAsia"/>
                <w:szCs w:val="21"/>
              </w:rPr>
              <w:t>陈巴尔虎旗巴彦库仁镇第二饮用水水源地</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t>5. 在饮用水水源一级保护区内已建成的与供水设施和保护水源无关的建设项目，由旗县级以上人民政府责令拆除或者关闭。</w:t>
            </w:r>
          </w:p>
          <w:p>
            <w:pPr>
              <w:widowControl/>
              <w:ind w:left="0" w:leftChars="0" w:right="0" w:rightChars="0"/>
              <w:jc w:val="left"/>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ind w:left="0" w:leftChars="0" w:right="0" w:rightChars="0"/>
              <w:jc w:val="center"/>
              <w:rPr>
                <w:szCs w:val="21"/>
              </w:rPr>
            </w:pPr>
            <w:r>
              <w:rPr>
                <w:rFonts w:hint="eastAsia"/>
                <w:szCs w:val="21"/>
              </w:rPr>
              <w:t>ZH15072510007</w:t>
            </w:r>
          </w:p>
        </w:tc>
        <w:tc>
          <w:tcPr>
            <w:tcW w:w="1108" w:type="dxa"/>
            <w:vAlign w:val="center"/>
          </w:tcPr>
          <w:p>
            <w:pPr>
              <w:widowControl/>
              <w:ind w:left="0" w:leftChars="0" w:right="0" w:rightChars="0"/>
              <w:jc w:val="center"/>
              <w:rPr>
                <w:szCs w:val="21"/>
              </w:rPr>
            </w:pPr>
            <w:r>
              <w:rPr>
                <w:szCs w:val="21"/>
              </w:rPr>
              <w:t>陈巴尔虎旗生物多样性维护生态功能重要区域</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jc w:val="left"/>
              <w:textAlignment w:val="center"/>
            </w:pPr>
            <w:r>
              <w:t>2.禁止生物多样性维护生态功能区的大规模水电开发和林纸一体化产业发展；</w:t>
            </w:r>
          </w:p>
          <w:p>
            <w:pPr>
              <w:widowControl/>
              <w:ind w:left="0" w:leftChars="0" w:right="0" w:rightChars="0"/>
              <w:jc w:val="left"/>
              <w:textAlignment w:val="center"/>
            </w:pPr>
            <w:r>
              <w:rPr>
                <w:rFonts w:hint="eastAsia"/>
              </w:rPr>
              <w:t>3.陈巴尔虎旗生物多样性维护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ZH15072510008</w:t>
            </w:r>
          </w:p>
        </w:tc>
        <w:tc>
          <w:tcPr>
            <w:tcW w:w="1108" w:type="dxa"/>
            <w:vAlign w:val="center"/>
          </w:tcPr>
          <w:p>
            <w:pPr>
              <w:widowControl/>
              <w:ind w:left="0" w:leftChars="0" w:right="0" w:rightChars="0"/>
              <w:jc w:val="center"/>
              <w:rPr>
                <w:szCs w:val="21"/>
              </w:rPr>
            </w:pPr>
            <w:r>
              <w:rPr>
                <w:rFonts w:hint="eastAsia"/>
                <w:szCs w:val="21"/>
              </w:rPr>
              <w:t>内蒙古陈巴尔虎草甸自治区草原公园</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1.禁止开垦草原。禁止在草原上使用剧毒、高残留以及可能导致二次中毒的农药。禁止向草原及其水域弃置、堆放固体废物和排放倾倒有毒有害的污染物；</w:t>
            </w:r>
          </w:p>
          <w:p>
            <w:pPr>
              <w:pStyle w:val="2"/>
              <w:ind w:left="0" w:leftChars="0" w:firstLine="0"/>
            </w:pPr>
            <w:r>
              <w:t>2.草原公园内的活动严格按照草原公园总体规划要求进行；</w:t>
            </w:r>
          </w:p>
          <w:p>
            <w:pPr>
              <w:pStyle w:val="2"/>
              <w:ind w:left="0" w:leftChars="0" w:firstLine="0"/>
            </w:pPr>
            <w:r>
              <w:t>3.</w:t>
            </w:r>
            <w:r>
              <w:rPr>
                <w:rFonts w:hint="eastAsia"/>
              </w:rPr>
              <w:t>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ZH15072510009</w:t>
            </w:r>
          </w:p>
        </w:tc>
        <w:tc>
          <w:tcPr>
            <w:tcW w:w="1108" w:type="dxa"/>
            <w:vAlign w:val="center"/>
          </w:tcPr>
          <w:p>
            <w:pPr>
              <w:widowControl/>
              <w:ind w:left="0" w:leftChars="0" w:right="0" w:rightChars="0"/>
              <w:jc w:val="center"/>
              <w:rPr>
                <w:szCs w:val="21"/>
              </w:rPr>
            </w:pPr>
            <w:r>
              <w:rPr>
                <w:rFonts w:hint="eastAsia"/>
                <w:szCs w:val="21"/>
              </w:rPr>
              <w:t>内蒙古陈巴尔虎旗赫尔洪德自治区森林公园</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ZH15072510010</w:t>
            </w:r>
          </w:p>
        </w:tc>
        <w:tc>
          <w:tcPr>
            <w:tcW w:w="1108" w:type="dxa"/>
            <w:vAlign w:val="center"/>
          </w:tcPr>
          <w:p>
            <w:pPr>
              <w:widowControl/>
              <w:ind w:left="0" w:leftChars="0" w:right="0" w:rightChars="0"/>
              <w:jc w:val="center"/>
              <w:rPr>
                <w:szCs w:val="21"/>
              </w:rPr>
            </w:pPr>
            <w:r>
              <w:rPr>
                <w:szCs w:val="21"/>
              </w:rPr>
              <w:t>内蒙古陈巴尔虎陶海国家湿地公园</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ind w:left="0" w:leftChars="0" w:right="0" w:rightChars="0"/>
              <w:jc w:val="center"/>
              <w:rPr>
                <w:szCs w:val="21"/>
              </w:rPr>
            </w:pPr>
            <w:r>
              <w:rPr>
                <w:rFonts w:hint="eastAsia"/>
                <w:szCs w:val="21"/>
              </w:rPr>
              <w:t>ZH15072510011</w:t>
            </w:r>
          </w:p>
        </w:tc>
        <w:tc>
          <w:tcPr>
            <w:tcW w:w="1108" w:type="dxa"/>
            <w:vAlign w:val="center"/>
          </w:tcPr>
          <w:p>
            <w:pPr>
              <w:widowControl/>
              <w:ind w:left="0" w:leftChars="0" w:right="0" w:rightChars="0"/>
              <w:jc w:val="center"/>
              <w:rPr>
                <w:szCs w:val="21"/>
              </w:rPr>
            </w:pPr>
            <w:r>
              <w:rPr>
                <w:szCs w:val="21"/>
              </w:rPr>
              <w:t>内蒙古胡列也吐湖自治区湿地公园</w:t>
            </w:r>
          </w:p>
        </w:tc>
        <w:tc>
          <w:tcPr>
            <w:tcW w:w="938"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ZH15072520001</w:t>
            </w:r>
          </w:p>
        </w:tc>
        <w:tc>
          <w:tcPr>
            <w:tcW w:w="1108" w:type="dxa"/>
            <w:vMerge w:val="restart"/>
            <w:vAlign w:val="center"/>
          </w:tcPr>
          <w:p>
            <w:pPr>
              <w:widowControl/>
              <w:ind w:left="0" w:leftChars="0" w:right="0" w:rightChars="0"/>
              <w:jc w:val="center"/>
              <w:rPr>
                <w:szCs w:val="21"/>
              </w:rPr>
            </w:pPr>
            <w:r>
              <w:rPr>
                <w:rFonts w:hint="eastAsia"/>
                <w:szCs w:val="21"/>
              </w:rPr>
              <w:t>陈巴尔虎旗宝日席勒矿区</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ZH15072520002</w:t>
            </w:r>
          </w:p>
        </w:tc>
        <w:tc>
          <w:tcPr>
            <w:tcW w:w="1108" w:type="dxa"/>
            <w:vMerge w:val="restart"/>
            <w:vAlign w:val="center"/>
          </w:tcPr>
          <w:p>
            <w:pPr>
              <w:widowControl/>
              <w:ind w:left="0" w:leftChars="0" w:right="0" w:rightChars="0"/>
              <w:jc w:val="center"/>
              <w:rPr>
                <w:szCs w:val="21"/>
              </w:rPr>
            </w:pPr>
            <w:r>
              <w:rPr>
                <w:szCs w:val="21"/>
              </w:rPr>
              <w:t>陈巴尔虎旗非金属矿</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ZH15072520003</w:t>
            </w:r>
          </w:p>
        </w:tc>
        <w:tc>
          <w:tcPr>
            <w:tcW w:w="1108" w:type="dxa"/>
            <w:vMerge w:val="restart"/>
            <w:vAlign w:val="center"/>
          </w:tcPr>
          <w:p>
            <w:pPr>
              <w:widowControl/>
              <w:ind w:left="0" w:leftChars="0" w:right="0" w:rightChars="0"/>
              <w:jc w:val="center"/>
              <w:rPr>
                <w:szCs w:val="21"/>
              </w:rPr>
            </w:pPr>
            <w:r>
              <w:rPr>
                <w:szCs w:val="21"/>
              </w:rPr>
              <w:t>陈巴尔虎旗金属矿</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restart"/>
            <w:vAlign w:val="center"/>
          </w:tcPr>
          <w:p>
            <w:pPr>
              <w:widowControl/>
              <w:ind w:left="0" w:leftChars="0" w:right="0" w:rightChars="0"/>
              <w:jc w:val="center"/>
              <w:rPr>
                <w:szCs w:val="21"/>
              </w:rPr>
            </w:pPr>
            <w:r>
              <w:rPr>
                <w:rFonts w:hint="eastAsia"/>
                <w:szCs w:val="21"/>
              </w:rPr>
              <w:t>ZH15072520004</w:t>
            </w:r>
          </w:p>
        </w:tc>
        <w:tc>
          <w:tcPr>
            <w:tcW w:w="1108" w:type="dxa"/>
            <w:vMerge w:val="restart"/>
            <w:vAlign w:val="center"/>
          </w:tcPr>
          <w:p>
            <w:pPr>
              <w:widowControl/>
              <w:ind w:left="0" w:leftChars="0" w:right="0" w:rightChars="0"/>
              <w:jc w:val="center"/>
              <w:rPr>
                <w:szCs w:val="21"/>
              </w:rPr>
            </w:pPr>
            <w:r>
              <w:rPr>
                <w:szCs w:val="21"/>
              </w:rPr>
              <w:t>陈巴尔虎旗煤矿</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textAlignment w:val="center"/>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kern w:val="0"/>
                <w:szCs w:val="21"/>
                <w:lang w:bidi="ar"/>
              </w:rPr>
              <w:t>ZH15072520005</w:t>
            </w:r>
          </w:p>
        </w:tc>
        <w:tc>
          <w:tcPr>
            <w:tcW w:w="1108" w:type="dxa"/>
            <w:vMerge w:val="restart"/>
            <w:vAlign w:val="center"/>
          </w:tcPr>
          <w:p>
            <w:pPr>
              <w:widowControl/>
              <w:ind w:left="0" w:leftChars="0" w:right="0" w:rightChars="0"/>
              <w:jc w:val="center"/>
              <w:rPr>
                <w:szCs w:val="21"/>
              </w:rPr>
            </w:pPr>
            <w:r>
              <w:rPr>
                <w:kern w:val="0"/>
                <w:szCs w:val="21"/>
                <w:lang w:bidi="ar"/>
              </w:rPr>
              <w:t>陈巴尔虎旗城镇空间</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1.扩大城镇集中供热覆盖范围，加大燃煤小锅炉淘汰力度，鼓励采取太阳能、风能多能互补清洁取暖，旗市区城市建成区原则上不再新建35t/h</w:t>
            </w:r>
            <w:r>
              <w:rPr>
                <w:rFonts w:hint="eastAsia"/>
              </w:rPr>
              <w:t>及</w:t>
            </w:r>
            <w:r>
              <w:t>以下燃煤锅炉。</w:t>
            </w:r>
          </w:p>
          <w:p>
            <w:pPr>
              <w:widowControl/>
              <w:ind w:left="0" w:leftChars="0" w:right="0" w:rightChars="0"/>
              <w:textAlignment w:val="center"/>
            </w:pPr>
            <w: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840" w:leftChars="0" w:right="0" w:rightChars="0" w:hanging="84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1.提升城镇生活污水收集管网覆盖率，逐步实施雨污管网分流改造、管网更新、破损修复、中水回用等工程。</w:t>
            </w:r>
          </w:p>
          <w:p>
            <w:pPr>
              <w:widowControl/>
              <w:ind w:left="0" w:leftChars="0" w:right="0" w:rightChars="0"/>
              <w:textAlignment w:val="center"/>
            </w:pPr>
            <w: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840" w:leftChars="0" w:right="0" w:rightChars="0" w:hanging="84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rPr>
                <w:rFonts w:hint="eastAsia"/>
              </w:rPr>
              <w:t>1</w:t>
            </w:r>
            <w:r>
              <w:t>.高污染燃料禁燃区内禁止使用、销售高污染燃料；不得新建、改建、扩建任何燃用高污染燃料的设施（集中供热、电厂锅炉除外）；禁燃区内已建成使用的高污染燃料的各类设备应自行拆除或改用管道天然气、液化石油气、电、生物质成型燃料等清洁能源。燃用生物质成型燃料必须配备生物质成型燃料专用锅炉，并按规定安装除尘设施。</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ZH15072520006</w:t>
            </w:r>
          </w:p>
        </w:tc>
        <w:tc>
          <w:tcPr>
            <w:tcW w:w="1108" w:type="dxa"/>
            <w:vMerge w:val="restart"/>
            <w:vAlign w:val="center"/>
          </w:tcPr>
          <w:p>
            <w:pPr>
              <w:widowControl/>
              <w:ind w:left="0" w:leftChars="0" w:right="0" w:rightChars="0"/>
              <w:jc w:val="center"/>
              <w:rPr>
                <w:szCs w:val="21"/>
              </w:rPr>
            </w:pPr>
            <w:r>
              <w:rPr>
                <w:rFonts w:hint="eastAsia"/>
                <w:szCs w:val="21"/>
              </w:rPr>
              <w:t>陈巴尔虎旗大气环境高排放重点管控区</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rFonts w:hint="eastAsia"/>
                <w:szCs w:val="21"/>
              </w:rPr>
              <w:t>空间布局约束</w:t>
            </w:r>
          </w:p>
        </w:tc>
        <w:tc>
          <w:tcPr>
            <w:tcW w:w="5663" w:type="dxa"/>
            <w:vAlign w:val="center"/>
          </w:tcPr>
          <w:p>
            <w:pPr>
              <w:widowControl/>
              <w:ind w:left="0" w:leftChars="0" w:right="0" w:rightChars="0"/>
              <w:textAlignment w:val="center"/>
            </w:pPr>
            <w:r>
              <w:rPr>
                <w:rFonts w:hint="eastAsia"/>
              </w:rPr>
              <w:t>1.加大火电、水泥、烧结砖瓦等行业落后产能淘汰和过剩产能压减力度，支持有色、煤炭、建材等传统产业企业加强技术创新、完善工艺流程，促进工业技改投资，推动传统产业行业深度治理和绿色低碳升级改造，实施减污降碳协同治理。巩固提升“散乱污”工业企业治理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840" w:leftChars="0" w:right="0" w:rightChars="0" w:hanging="84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rFonts w:hint="eastAsia"/>
                <w:szCs w:val="21"/>
              </w:rPr>
              <w:t>污染物排放管控</w:t>
            </w:r>
          </w:p>
        </w:tc>
        <w:tc>
          <w:tcPr>
            <w:tcW w:w="5663" w:type="dxa"/>
            <w:vAlign w:val="center"/>
          </w:tcPr>
          <w:p>
            <w:pPr>
              <w:widowControl/>
              <w:ind w:left="0" w:leftChars="0" w:right="0" w:rightChars="0"/>
              <w:textAlignment w:val="center"/>
            </w:pPr>
            <w:r>
              <w:rPr>
                <w:rFonts w:hint="eastAsia"/>
              </w:rPr>
              <w:t>1.严格落实污染物排放总量控制制度，把主要污染物排放总量指标作为环评审批的前置条件。</w:t>
            </w:r>
            <w:r>
              <w:rPr>
                <w:rFonts w:hint="eastAsia"/>
              </w:rPr>
              <w:br w:type="textWrapping"/>
            </w:r>
            <w:r>
              <w:rPr>
                <w:rFonts w:hint="eastAsia"/>
              </w:rPr>
              <w:t>2.新建、改扩建项目执行重点污染物特别排放限值。现有项目通过提标升级改造，重点污染物逐步达到特别排放限值。</w:t>
            </w:r>
            <w:r>
              <w:rPr>
                <w:rFonts w:hint="eastAsia"/>
              </w:rPr>
              <w:br w:type="textWrapping"/>
            </w:r>
            <w:r>
              <w:rPr>
                <w:rFonts w:hint="eastAsia"/>
              </w:rPr>
              <w:t>3.强化工业企业无组织排放管理。对物料（含废渣）储存、装卸、破碎、运输、转移和工艺过程等无组织排放实施深度治理。</w:t>
            </w:r>
            <w:r>
              <w:rPr>
                <w:rFonts w:hint="eastAsia"/>
              </w:rPr>
              <w:br w:type="textWrapping"/>
            </w:r>
            <w:r>
              <w:rPr>
                <w:rFonts w:hint="eastAsia"/>
              </w:rPr>
              <w:t>4.状物料（含废渣）和易起尘的块状物料必须进行全封闭，密闭储存；其他块状物料必须入棚入仓或建设防风抑尘网，安装抑尘设施。</w:t>
            </w:r>
            <w:r>
              <w:rPr>
                <w:rFonts w:hint="eastAsia"/>
              </w:rPr>
              <w:br w:type="textWrapping"/>
            </w:r>
            <w:r>
              <w:rPr>
                <w:rFonts w:hint="eastAsia"/>
              </w:rPr>
              <w:t>5.所有粉煤灰、电石渣等固废堆场要严格落实抑尘措施。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840" w:leftChars="0" w:right="0" w:rightChars="0" w:hanging="84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rFonts w:hint="eastAsia"/>
                <w:szCs w:val="21"/>
              </w:rPr>
              <w:t>资源开发效率</w:t>
            </w:r>
          </w:p>
        </w:tc>
        <w:tc>
          <w:tcPr>
            <w:tcW w:w="5663" w:type="dxa"/>
            <w:vAlign w:val="center"/>
          </w:tcPr>
          <w:p>
            <w:pPr>
              <w:widowControl/>
              <w:ind w:left="0" w:leftChars="0" w:right="0" w:rightChars="0"/>
              <w:textAlignment w:val="center"/>
            </w:pPr>
            <w:r>
              <w:rPr>
                <w:rFonts w:hint="eastAsia"/>
              </w:rPr>
              <w:t>推进能耗强度和总量“双控”，狠抓工业领域节能管理。优化能源产业结构，逐步提高新能源装机比重，煤炭占能源消费总量比重逐年下降。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atLeast"/>
        </w:trPr>
        <w:tc>
          <w:tcPr>
            <w:tcW w:w="1073" w:type="dxa"/>
            <w:vMerge w:val="restart"/>
            <w:vAlign w:val="center"/>
          </w:tcPr>
          <w:p>
            <w:pPr>
              <w:widowControl/>
              <w:ind w:left="0" w:leftChars="0" w:right="0" w:rightChars="0"/>
              <w:jc w:val="center"/>
              <w:rPr>
                <w:szCs w:val="21"/>
              </w:rPr>
            </w:pPr>
            <w:r>
              <w:rPr>
                <w:szCs w:val="21"/>
              </w:rPr>
              <w:t>ZH15072520007</w:t>
            </w:r>
          </w:p>
        </w:tc>
        <w:tc>
          <w:tcPr>
            <w:tcW w:w="1108" w:type="dxa"/>
            <w:vMerge w:val="restart"/>
            <w:vAlign w:val="center"/>
          </w:tcPr>
          <w:p>
            <w:pPr>
              <w:widowControl/>
              <w:ind w:left="0" w:leftChars="0" w:right="0" w:rightChars="0"/>
              <w:jc w:val="center"/>
              <w:rPr>
                <w:szCs w:val="21"/>
              </w:rPr>
            </w:pPr>
            <w:r>
              <w:rPr>
                <w:rFonts w:hint="eastAsia"/>
                <w:szCs w:val="21"/>
              </w:rPr>
              <w:t>陈巴尔虎旗胡列也吐矿区</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widowControl/>
              <w:ind w:left="0" w:leftChars="0" w:right="0" w:rightChars="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textAlignment w:val="center"/>
            </w:pPr>
            <w:r>
              <w:rPr>
                <w:rFonts w:hint="eastAsia"/>
              </w:rPr>
              <w:t>6</w:t>
            </w:r>
            <w:r>
              <w:t>.执行</w:t>
            </w:r>
            <w:r>
              <w:rPr>
                <w:rFonts w:hint="eastAsia"/>
              </w:rPr>
              <w:t>《内蒙古自治区矿产资源总体规划（2021—2025年）》</w:t>
            </w:r>
            <w:r>
              <w:t>中最低开采规模相关要求。</w:t>
            </w:r>
          </w:p>
          <w:p>
            <w:pPr>
              <w:pStyle w:val="2"/>
              <w:ind w:left="0" w:leftChars="0" w:right="0" w:rightChars="0" w:firstLine="0"/>
              <w:textAlignment w:val="center"/>
            </w:pPr>
            <w:r>
              <w:rPr>
                <w:rFonts w:hint="eastAsia"/>
              </w:rPr>
              <w:t>7</w:t>
            </w:r>
            <w:r>
              <w:t>.</w:t>
            </w:r>
            <w:r>
              <w:rPr>
                <w:rFonts w:hint="eastAsia"/>
              </w:rPr>
              <w:t>临近生态保护红线内蒙古胡列也吐湖自治区湿地公园的矿产资源勘查开发，应采取有效措施，避免产生不利影响。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kern w:val="0"/>
                <w:szCs w:val="21"/>
                <w:lang w:bidi="ar"/>
              </w:rPr>
              <w:t>ZH15072520008</w:t>
            </w:r>
          </w:p>
        </w:tc>
        <w:tc>
          <w:tcPr>
            <w:tcW w:w="1108" w:type="dxa"/>
            <w:vMerge w:val="restart"/>
            <w:vAlign w:val="center"/>
          </w:tcPr>
          <w:p>
            <w:pPr>
              <w:widowControl/>
              <w:ind w:left="0" w:leftChars="0" w:right="0" w:rightChars="0"/>
              <w:jc w:val="center"/>
              <w:rPr>
                <w:szCs w:val="21"/>
              </w:rPr>
            </w:pPr>
            <w:r>
              <w:rPr>
                <w:kern w:val="0"/>
                <w:szCs w:val="21"/>
                <w:lang w:bidi="ar"/>
              </w:rPr>
              <w:t>内蒙古呼伦贝尔岭东农畜林产品开发区陈旗产业园</w:t>
            </w:r>
          </w:p>
        </w:tc>
        <w:tc>
          <w:tcPr>
            <w:tcW w:w="938"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1.国家明令淘汰的落后产能和不符合国家产业政策的项目，严禁向工业园区转移。</w:t>
            </w:r>
          </w:p>
          <w:p>
            <w:pPr>
              <w:widowControl/>
              <w:ind w:left="0" w:leftChars="0" w:right="0" w:rightChars="0"/>
              <w:textAlignment w:val="center"/>
            </w:pPr>
            <w:r>
              <w:t>2.不应再引进煤化工等重污染项目，限制发展煤化工上游产业。</w:t>
            </w:r>
          </w:p>
          <w:p>
            <w:pPr>
              <w:widowControl/>
              <w:ind w:left="0" w:leftChars="0" w:right="0" w:rightChars="0"/>
              <w:textAlignment w:val="center"/>
            </w:pPr>
            <w:r>
              <w:t>3.园区内一律不得新建晾晒池、蒸发塘。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Merge w:val="continue"/>
            <w:vAlign w:val="center"/>
          </w:tcPr>
          <w:p>
            <w:pPr>
              <w:widowControl/>
              <w:ind w:left="0" w:leftChars="0" w:right="0" w:rightChars="0"/>
              <w:jc w:val="center"/>
              <w:rPr>
                <w:kern w:val="0"/>
                <w:szCs w:val="21"/>
                <w:lang w:bidi="ar"/>
              </w:rPr>
            </w:pPr>
          </w:p>
        </w:tc>
        <w:tc>
          <w:tcPr>
            <w:tcW w:w="1108" w:type="dxa"/>
            <w:vMerge w:val="continue"/>
            <w:vAlign w:val="center"/>
          </w:tcPr>
          <w:p>
            <w:pPr>
              <w:widowControl/>
              <w:ind w:left="0" w:leftChars="0" w:right="0" w:rightChars="0"/>
              <w:jc w:val="center"/>
              <w:rPr>
                <w:kern w:val="0"/>
                <w:szCs w:val="21"/>
                <w:lang w:bidi="ar"/>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1.新建排放重金属污染物的建设项目全面执行重金属重点污染物特别排放限值。</w:t>
            </w:r>
          </w:p>
          <w:p>
            <w:pPr>
              <w:widowControl/>
              <w:ind w:left="0" w:leftChars="0" w:right="0" w:rightChars="0"/>
              <w:textAlignment w:val="center"/>
            </w:pPr>
            <w:r>
              <w:t>2.化工企业应建设有毒及恶臭气体收集、处理和应急处置设施，尽快实施技术升级改造，减少挥发性有机污染物（VOCs）的泄漏排放。重点行业粉状物料堆场实现全封闭，块状物料安装抑尘设施。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kern w:val="0"/>
                <w:szCs w:val="21"/>
                <w:lang w:bidi="ar"/>
              </w:rPr>
            </w:pPr>
          </w:p>
        </w:tc>
        <w:tc>
          <w:tcPr>
            <w:tcW w:w="1108" w:type="dxa"/>
            <w:vMerge w:val="continue"/>
            <w:vAlign w:val="center"/>
          </w:tcPr>
          <w:p>
            <w:pPr>
              <w:widowControl/>
              <w:ind w:left="0" w:leftChars="0" w:right="0" w:rightChars="0"/>
              <w:jc w:val="center"/>
              <w:rPr>
                <w:kern w:val="0"/>
                <w:szCs w:val="21"/>
                <w:lang w:bidi="ar"/>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kern w:val="0"/>
                <w:szCs w:val="21"/>
                <w:lang w:bidi="ar"/>
              </w:rPr>
            </w:pPr>
          </w:p>
        </w:tc>
        <w:tc>
          <w:tcPr>
            <w:tcW w:w="1108" w:type="dxa"/>
            <w:vMerge w:val="continue"/>
            <w:vAlign w:val="center"/>
          </w:tcPr>
          <w:p>
            <w:pPr>
              <w:widowControl/>
              <w:ind w:left="0" w:leftChars="0" w:right="0" w:rightChars="0"/>
              <w:jc w:val="center"/>
              <w:rPr>
                <w:kern w:val="0"/>
                <w:szCs w:val="21"/>
                <w:lang w:bidi="ar"/>
              </w:rPr>
            </w:pPr>
          </w:p>
        </w:tc>
        <w:tc>
          <w:tcPr>
            <w:tcW w:w="938"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szCs w:val="21"/>
              </w:rPr>
            </w:pPr>
            <w:r>
              <w:rPr>
                <w:kern w:val="0"/>
                <w:szCs w:val="21"/>
                <w:lang w:bidi="ar"/>
              </w:rPr>
              <w:t>资源利用效率要求</w:t>
            </w:r>
          </w:p>
        </w:tc>
        <w:tc>
          <w:tcPr>
            <w:tcW w:w="5663" w:type="dxa"/>
            <w:vAlign w:val="center"/>
          </w:tcPr>
          <w:p>
            <w:pPr>
              <w:widowControl/>
              <w:ind w:left="0" w:leftChars="0" w:right="0" w:rightChars="0"/>
              <w:textAlignment w:val="center"/>
            </w:pPr>
            <w:r>
              <w:t>1.限制高耗能企业入区。</w:t>
            </w:r>
          </w:p>
          <w:p>
            <w:pPr>
              <w:widowControl/>
              <w:ind w:left="0" w:leftChars="0" w:right="0" w:rightChars="0"/>
              <w:textAlignment w:val="center"/>
            </w:pPr>
            <w:r>
              <w:t>2.新、改、扩建的高耗水工业项目，禁止擅自使用地下水。优先配置利用中水和疏干水等作为生产水源；具备使用非常规水源条件的园区，限期关闭企业生产用地下水自备水井。</w:t>
            </w:r>
          </w:p>
          <w:p>
            <w:pPr>
              <w:widowControl/>
              <w:ind w:left="0" w:leftChars="0" w:right="0" w:rightChars="0"/>
              <w:textAlignment w:val="center"/>
            </w:pPr>
            <w:r>
              <w:t>3.实行地下水取用水总量控制和水位控制制度。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kern w:val="0"/>
                <w:szCs w:val="21"/>
                <w:lang w:bidi="ar"/>
              </w:rPr>
            </w:pPr>
            <w:r>
              <w:rPr>
                <w:kern w:val="0"/>
                <w:szCs w:val="21"/>
                <w:lang w:bidi="ar"/>
              </w:rPr>
              <w:t>ZH15072530001</w:t>
            </w:r>
          </w:p>
        </w:tc>
        <w:tc>
          <w:tcPr>
            <w:tcW w:w="1108" w:type="dxa"/>
            <w:vAlign w:val="center"/>
          </w:tcPr>
          <w:p>
            <w:pPr>
              <w:widowControl/>
              <w:ind w:left="0" w:leftChars="0" w:right="0" w:rightChars="0"/>
              <w:jc w:val="center"/>
              <w:rPr>
                <w:kern w:val="0"/>
                <w:szCs w:val="21"/>
                <w:lang w:bidi="ar"/>
              </w:rPr>
            </w:pPr>
            <w:r>
              <w:rPr>
                <w:kern w:val="0"/>
                <w:szCs w:val="21"/>
                <w:lang w:bidi="ar"/>
              </w:rPr>
              <w:t>陈巴尔虎旗一般管控单元</w:t>
            </w:r>
          </w:p>
        </w:tc>
        <w:tc>
          <w:tcPr>
            <w:tcW w:w="938" w:type="dxa"/>
            <w:vAlign w:val="center"/>
          </w:tcPr>
          <w:p>
            <w:pPr>
              <w:widowControl/>
              <w:ind w:left="0" w:leftChars="0" w:right="0" w:rightChars="0"/>
              <w:jc w:val="center"/>
              <w:rPr>
                <w:szCs w:val="21"/>
              </w:rPr>
            </w:pPr>
            <w:r>
              <w:rPr>
                <w:szCs w:val="21"/>
              </w:rPr>
              <w:t>一般管控单元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pPr>
            <w: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53" w:name="_Toc142233288"/>
      <w:r>
        <w:rPr>
          <w:rFonts w:ascii="Times New Roman" w:hAnsi="Times New Roman" w:eastAsia="仿宋_GB2312"/>
        </w:rPr>
        <w:t>（十二）呼伦贝尔市新巴尔虎左旗生态环境准入清单</w:t>
      </w:r>
      <w:bookmarkEnd w:id="53"/>
    </w:p>
    <w:p>
      <w:pPr>
        <w:ind w:left="0" w:leftChars="0" w:right="0" w:rightChars="0"/>
        <w:jc w:val="center"/>
        <w:rPr>
          <w:b/>
          <w:bCs/>
          <w:sz w:val="28"/>
          <w:szCs w:val="28"/>
        </w:rPr>
      </w:pPr>
      <w:r>
        <w:rPr>
          <w:b/>
          <w:bCs/>
          <w:sz w:val="28"/>
          <w:szCs w:val="28"/>
        </w:rPr>
        <w:t>表12呼伦贝尔市新巴尔虎左旗生态环境准入清单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5"/>
        <w:gridCol w:w="1714"/>
        <w:gridCol w:w="1346"/>
        <w:gridCol w:w="1052"/>
        <w:gridCol w:w="8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146" w:type="dxa"/>
            <w:vAlign w:val="center"/>
          </w:tcPr>
          <w:p>
            <w:pPr>
              <w:widowControl/>
              <w:ind w:left="0" w:leftChars="0" w:right="0" w:rightChars="0"/>
              <w:jc w:val="center"/>
              <w:rPr>
                <w:b/>
                <w:bCs/>
                <w:szCs w:val="21"/>
              </w:rPr>
            </w:pPr>
            <w:r>
              <w:rPr>
                <w:b/>
                <w:bCs/>
                <w:szCs w:val="21"/>
              </w:rPr>
              <w:t>环境管控单元名称</w:t>
            </w:r>
          </w:p>
        </w:tc>
        <w:tc>
          <w:tcPr>
            <w:tcW w:w="900" w:type="dxa"/>
            <w:vAlign w:val="center"/>
          </w:tcPr>
          <w:p>
            <w:pPr>
              <w:widowControl/>
              <w:ind w:left="0" w:leftChars="0" w:right="0" w:rightChars="0"/>
              <w:jc w:val="center"/>
              <w:rPr>
                <w:b/>
                <w:bCs/>
                <w:szCs w:val="21"/>
              </w:rPr>
            </w:pPr>
            <w:r>
              <w:rPr>
                <w:b/>
                <w:bCs/>
                <w:szCs w:val="21"/>
              </w:rPr>
              <w:t>管控单元类别</w:t>
            </w:r>
          </w:p>
        </w:tc>
        <w:tc>
          <w:tcPr>
            <w:tcW w:w="6356"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ZH15072610001</w:t>
            </w:r>
          </w:p>
        </w:tc>
        <w:tc>
          <w:tcPr>
            <w:tcW w:w="1146" w:type="dxa"/>
            <w:vAlign w:val="center"/>
          </w:tcPr>
          <w:p>
            <w:pPr>
              <w:widowControl/>
              <w:ind w:left="0" w:leftChars="0" w:right="0" w:rightChars="0"/>
              <w:jc w:val="center"/>
              <w:rPr>
                <w:szCs w:val="21"/>
              </w:rPr>
            </w:pPr>
            <w:r>
              <w:rPr>
                <w:szCs w:val="21"/>
              </w:rPr>
              <w:t>满洲里第二水源地</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t>5. 在饮用水水源一级保护区内已建成的与供水设施和保护水源无关的建设项目，由旗县级以上人民政府责令拆除或者关闭。</w:t>
            </w:r>
          </w:p>
          <w:p>
            <w:pPr>
              <w:widowControl/>
              <w:ind w:left="0" w:leftChars="0" w:right="0" w:rightChars="0"/>
              <w:jc w:val="left"/>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ZH15072610002</w:t>
            </w:r>
          </w:p>
        </w:tc>
        <w:tc>
          <w:tcPr>
            <w:tcW w:w="1146" w:type="dxa"/>
            <w:vAlign w:val="center"/>
          </w:tcPr>
          <w:p>
            <w:pPr>
              <w:widowControl/>
              <w:ind w:left="0" w:leftChars="0" w:right="0" w:rightChars="0"/>
              <w:jc w:val="center"/>
              <w:rPr>
                <w:szCs w:val="21"/>
              </w:rPr>
            </w:pPr>
            <w:r>
              <w:rPr>
                <w:rFonts w:hint="eastAsia"/>
                <w:szCs w:val="21"/>
              </w:rPr>
              <w:t>新巴尔虎左旗生物多样性维护生态功能重要区域</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pStyle w:val="2"/>
              <w:ind w:left="0" w:leftChars="0" w:firstLine="0"/>
            </w:pPr>
            <w:r>
              <w:t>2.禁止生物多样性维护生态功能区的大规模水电开发和林纸一体化产业发展；</w:t>
            </w:r>
          </w:p>
          <w:p>
            <w:pPr>
              <w:pStyle w:val="2"/>
              <w:ind w:left="0" w:leftChars="0" w:firstLine="0"/>
            </w:pPr>
            <w:r>
              <w:rPr>
                <w:rFonts w:hint="eastAsia"/>
              </w:rPr>
              <w:t>3.新巴尔虎左旗生物多样性维护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ind w:left="0" w:leftChars="0" w:right="0" w:rightChars="0"/>
              <w:jc w:val="center"/>
              <w:rPr>
                <w:szCs w:val="21"/>
              </w:rPr>
            </w:pPr>
            <w:r>
              <w:rPr>
                <w:rFonts w:hint="eastAsia"/>
                <w:szCs w:val="21"/>
              </w:rPr>
              <w:t>ZH15072610003</w:t>
            </w:r>
          </w:p>
        </w:tc>
        <w:tc>
          <w:tcPr>
            <w:tcW w:w="1146" w:type="dxa"/>
            <w:vAlign w:val="center"/>
          </w:tcPr>
          <w:p>
            <w:pPr>
              <w:widowControl/>
              <w:ind w:left="0" w:leftChars="0" w:right="0" w:rightChars="0"/>
              <w:jc w:val="center"/>
              <w:rPr>
                <w:szCs w:val="21"/>
              </w:rPr>
            </w:pPr>
            <w:r>
              <w:rPr>
                <w:szCs w:val="21"/>
              </w:rPr>
              <w:t>新巴尔虎左旗水源涵养生态功能重要区域</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textAlignment w:val="center"/>
            </w:pPr>
            <w:r>
              <w:t>2.禁止新建高水资源消耗产业</w:t>
            </w:r>
            <w:r>
              <w:rPr>
                <w:rFonts w:hint="eastAsia"/>
              </w:rPr>
              <w:t>；</w:t>
            </w:r>
          </w:p>
          <w:p>
            <w:pPr>
              <w:widowControl/>
              <w:ind w:left="0" w:leftChars="0" w:right="0" w:rightChars="0"/>
              <w:textAlignment w:val="center"/>
            </w:pPr>
            <w:r>
              <w:rPr>
                <w:rFonts w:hint="eastAsia"/>
              </w:rPr>
              <w:t>3.新巴尔虎左旗水源涵养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ZH15072610004</w:t>
            </w:r>
          </w:p>
        </w:tc>
        <w:tc>
          <w:tcPr>
            <w:tcW w:w="1146" w:type="dxa"/>
            <w:vAlign w:val="center"/>
          </w:tcPr>
          <w:p>
            <w:pPr>
              <w:widowControl/>
              <w:ind w:left="0" w:leftChars="0" w:right="0" w:rightChars="0"/>
              <w:jc w:val="center"/>
              <w:rPr>
                <w:szCs w:val="21"/>
              </w:rPr>
            </w:pPr>
            <w:r>
              <w:rPr>
                <w:szCs w:val="21"/>
              </w:rPr>
              <w:t>内蒙古辉河国家级自然保护区</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ZH15072610005</w:t>
            </w:r>
          </w:p>
        </w:tc>
        <w:tc>
          <w:tcPr>
            <w:tcW w:w="1146" w:type="dxa"/>
            <w:vAlign w:val="center"/>
          </w:tcPr>
          <w:p>
            <w:pPr>
              <w:widowControl/>
              <w:ind w:left="0" w:leftChars="0" w:right="0" w:rightChars="0"/>
              <w:jc w:val="center"/>
              <w:rPr>
                <w:szCs w:val="21"/>
              </w:rPr>
            </w:pPr>
            <w:r>
              <w:rPr>
                <w:szCs w:val="21"/>
              </w:rPr>
              <w:t>内蒙古满洲里二卡国家湿地公园</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szCs w:val="21"/>
              </w:rPr>
            </w:pPr>
            <w:r>
              <w:rPr>
                <w:kern w:val="0"/>
                <w:szCs w:val="21"/>
                <w:lang w:bidi="ar"/>
              </w:rPr>
              <w:t>空间布局约束</w:t>
            </w:r>
          </w:p>
        </w:tc>
        <w:tc>
          <w:tcPr>
            <w:tcW w:w="5653"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jc w:val="left"/>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jc w:val="left"/>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ZH1507261000</w:t>
            </w:r>
            <w:r>
              <w:rPr>
                <w:rFonts w:hint="eastAsia"/>
                <w:szCs w:val="21"/>
              </w:rPr>
              <w:t>6</w:t>
            </w:r>
          </w:p>
        </w:tc>
        <w:tc>
          <w:tcPr>
            <w:tcW w:w="1146" w:type="dxa"/>
            <w:vAlign w:val="center"/>
          </w:tcPr>
          <w:p>
            <w:pPr>
              <w:widowControl/>
              <w:ind w:left="0" w:leftChars="0" w:right="0" w:rightChars="0"/>
              <w:jc w:val="center"/>
              <w:rPr>
                <w:szCs w:val="21"/>
              </w:rPr>
            </w:pPr>
            <w:r>
              <w:rPr>
                <w:szCs w:val="21"/>
              </w:rPr>
              <w:t>内蒙古呼伦湖国家级自然保护区</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w:t>
            </w:r>
            <w:r>
              <w:rPr>
                <w:rFonts w:hint="eastAsia"/>
              </w:rPr>
              <w:t xml:space="preserve"> 。；。</w:t>
            </w:r>
            <w:r>
              <w:t>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.在实验区从事科研、教学、采集标本、参观、旅游活动的单位或者个人，应当遵守自然保护区管理的有关规定。</w:t>
            </w:r>
          </w:p>
          <w:p>
            <w:pPr>
              <w:widowControl/>
              <w:ind w:left="0" w:leftChars="0" w:right="0" w:rightChars="0"/>
              <w:textAlignment w:val="center"/>
            </w:pPr>
            <w:r>
              <w:rPr>
                <w:rFonts w:hint="eastAsia"/>
              </w:rPr>
              <w:t>7</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8.在保护区内从事规划、保护、建设、利用、管理等活动，应当遵守《内蒙古自治区呼伦湖国家级自然保护区条例》；</w:t>
            </w:r>
          </w:p>
          <w:p>
            <w:pPr>
              <w:widowControl/>
              <w:ind w:left="0" w:leftChars="0" w:right="0" w:rightChars="0"/>
              <w:textAlignment w:val="center"/>
            </w:pPr>
            <w:r>
              <w:rPr>
                <w:rFonts w:hint="eastAsia"/>
              </w:rPr>
              <w:t>9.在生态保护红线内的有限人为活动管理要求按照《自然资源部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ind w:left="0" w:leftChars="0" w:right="0" w:rightChars="0"/>
              <w:jc w:val="center"/>
              <w:rPr>
                <w:szCs w:val="21"/>
              </w:rPr>
            </w:pPr>
            <w:r>
              <w:rPr>
                <w:rFonts w:hint="eastAsia"/>
                <w:szCs w:val="21"/>
              </w:rPr>
              <w:t>ZH15072610007</w:t>
            </w:r>
          </w:p>
        </w:tc>
        <w:tc>
          <w:tcPr>
            <w:tcW w:w="1146" w:type="dxa"/>
            <w:vAlign w:val="center"/>
          </w:tcPr>
          <w:p>
            <w:pPr>
              <w:widowControl/>
              <w:ind w:left="0" w:leftChars="0" w:right="0" w:rightChars="0"/>
              <w:jc w:val="center"/>
              <w:rPr>
                <w:szCs w:val="21"/>
              </w:rPr>
            </w:pPr>
            <w:r>
              <w:rPr>
                <w:rFonts w:hint="eastAsia"/>
                <w:szCs w:val="21"/>
              </w:rPr>
              <w:t>呼伦贝尔草原生物多样性维护和防风固沙生态保护红线</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2.禁止生物多样性维护生态功能区的大规模水电开发和林纸一体化产业发展；</w:t>
            </w:r>
          </w:p>
          <w:p>
            <w:pPr>
              <w:widowControl/>
              <w:ind w:left="0" w:leftChars="0" w:right="0" w:rightChars="0"/>
              <w:textAlignment w:val="center"/>
            </w:pPr>
            <w:r>
              <w:t>3.降低防风固沙生态功能区的农牧业开发强度；禁止过度开垦、不适当樵采和超载过牧，退牧还草，防治草场退化沙化；</w:t>
            </w:r>
          </w:p>
          <w:p>
            <w:pPr>
              <w:widowControl/>
              <w:ind w:left="0" w:leftChars="0" w:right="0" w:rightChars="0"/>
              <w:textAlignment w:val="center"/>
            </w:pPr>
            <w:r>
              <w:t>4.转变畜牧业生产方式，实行禁牧休牧，推行舍饲圈养，以草定畜，严格控制载畜量。加大退耕还林、退牧还草力度，恢复草原植被。加强对内陆河流的规划和管理，保护沙区湿地，禁止发展高耗水工业。对主要沙尘源区、沙尘暴频发区实行封禁管理</w:t>
            </w:r>
            <w:r>
              <w:rPr>
                <w:rFonts w:hint="eastAsia"/>
              </w:rPr>
              <w:t>；</w:t>
            </w:r>
          </w:p>
          <w:p>
            <w:pPr>
              <w:pStyle w:val="2"/>
              <w:ind w:left="0" w:leftChars="0" w:firstLine="0"/>
            </w:pPr>
            <w:r>
              <w:rPr>
                <w:rFonts w:hint="eastAsia"/>
              </w:rPr>
              <w:t>5.</w:t>
            </w:r>
            <w:r>
              <w:t>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ZH15072610008</w:t>
            </w:r>
          </w:p>
        </w:tc>
        <w:tc>
          <w:tcPr>
            <w:tcW w:w="1146" w:type="dxa"/>
            <w:vAlign w:val="center"/>
          </w:tcPr>
          <w:p>
            <w:pPr>
              <w:widowControl/>
              <w:ind w:left="0" w:leftChars="0" w:right="0" w:rightChars="0"/>
              <w:jc w:val="center"/>
              <w:rPr>
                <w:szCs w:val="21"/>
              </w:rPr>
            </w:pPr>
            <w:r>
              <w:rPr>
                <w:rFonts w:hint="eastAsia"/>
                <w:szCs w:val="21"/>
              </w:rPr>
              <w:t>大兴安岭水源涵养和生物多样性维护生态保护红线</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1.严格保护具有水源涵养功能的自然植被，禁止过度放牧、无序采矿、毁林开荒、开垦草原等行为；</w:t>
            </w:r>
          </w:p>
          <w:p>
            <w:pPr>
              <w:widowControl/>
              <w:ind w:left="0" w:leftChars="0" w:right="0" w:rightChars="0"/>
              <w:jc w:val="left"/>
              <w:textAlignment w:val="center"/>
            </w:pPr>
            <w:r>
              <w:t>2.禁止新建高水资源消耗产业；</w:t>
            </w:r>
          </w:p>
          <w:p>
            <w:pPr>
              <w:widowControl/>
              <w:ind w:left="0" w:leftChars="0" w:right="0" w:rightChars="0"/>
              <w:textAlignment w:val="center"/>
            </w:pPr>
            <w:r>
              <w:t>3.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4.禁止生物多样性维护生态功能区的大规模水电开发和林纸一体化产业发展</w:t>
            </w:r>
            <w:r>
              <w:rPr>
                <w:rFonts w:hint="eastAsia"/>
              </w:rPr>
              <w:t>；</w:t>
            </w:r>
          </w:p>
          <w:p>
            <w:pPr>
              <w:widowControl/>
              <w:ind w:left="0" w:leftChars="0" w:right="0" w:rightChars="0"/>
              <w:textAlignment w:val="center"/>
            </w:pPr>
            <w:r>
              <w:rPr>
                <w:rFonts w:hint="eastAsia"/>
              </w:rPr>
              <w:t>5.在生态保护红线内的有限人为活动管理要求按照《自然资源部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ZH15072610009</w:t>
            </w:r>
          </w:p>
        </w:tc>
        <w:tc>
          <w:tcPr>
            <w:tcW w:w="1146" w:type="dxa"/>
            <w:vAlign w:val="center"/>
          </w:tcPr>
          <w:p>
            <w:pPr>
              <w:widowControl/>
              <w:ind w:left="0" w:leftChars="0" w:right="0" w:rightChars="0"/>
              <w:jc w:val="center"/>
              <w:rPr>
                <w:szCs w:val="21"/>
              </w:rPr>
            </w:pPr>
            <w:r>
              <w:rPr>
                <w:szCs w:val="21"/>
              </w:rPr>
              <w:t>满洲里第二水源地</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ZH15072610010</w:t>
            </w:r>
          </w:p>
        </w:tc>
        <w:tc>
          <w:tcPr>
            <w:tcW w:w="1146" w:type="dxa"/>
            <w:vAlign w:val="center"/>
          </w:tcPr>
          <w:p>
            <w:pPr>
              <w:widowControl/>
              <w:ind w:left="0" w:leftChars="0" w:right="0" w:rightChars="0"/>
              <w:jc w:val="center"/>
              <w:rPr>
                <w:szCs w:val="21"/>
              </w:rPr>
            </w:pPr>
            <w:r>
              <w:rPr>
                <w:szCs w:val="21"/>
              </w:rPr>
              <w:t>内蒙古诺门罕自治区湿地公园</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w:t>
            </w:r>
            <w:r>
              <w:rPr>
                <w:rFonts w:hint="eastAsia"/>
              </w:rPr>
              <w:t>除法律法规有特别规定的以外，</w:t>
            </w:r>
            <w:r>
              <w:t>国家湿地公园内禁止下列行为：（一）开（围）垦、填埋或者排干湿地；截断湿地水源；挖沙、采矿；倾倒有毒有害物质、废弃物、垃圾；从事房地产、度假村、高尔夫球场、风力发电、光伏发电等任何不符合主体功能定位的建设项目和开发活动；破坏野生动物栖息地和迁徙通道、鱼类洄游通道，滥采滥捕野生动植物；引入外来物种；擅自放牧、捕捞、取土、取水、排污、放生；其他破坏湿地及其生态功能的活动；</w:t>
            </w:r>
          </w:p>
          <w:p>
            <w:pPr>
              <w:widowControl/>
              <w:ind w:left="0" w:leftChars="0" w:right="0" w:rightChars="0"/>
              <w:textAlignment w:val="center"/>
            </w:pPr>
            <w:r>
              <w:t>2.国家湿地公园应划定保育区。根据自然条件和管理需要，可划分恢复重建区、合理利用区，实行分区管理。保育区除开展保护、监测、科学研究等必需的保护管理活动外，不得进行任何与湿地生态系统保护和管理无关的其他活动。恢复重建区应当开展培育和恢复湿地的相关活动。合理利用区应当开展以生态展示、科普教育为主的宣教活动，可开展不损害湿地生态系统功能的生态体验及管理服务等活动；</w:t>
            </w:r>
          </w:p>
          <w:p>
            <w:pPr>
              <w:pStyle w:val="2"/>
              <w:ind w:left="0" w:leftChars="0" w:firstLine="0"/>
            </w:pPr>
            <w:r>
              <w:t>3.湿地公园内的建设和活动，必须符合总体规划的要求；</w:t>
            </w:r>
          </w:p>
          <w:p>
            <w:pPr>
              <w:widowControl/>
              <w:ind w:left="0" w:leftChars="0" w:right="0" w:rightChars="0"/>
              <w:textAlignment w:val="center"/>
            </w:pPr>
            <w:r>
              <w:rPr>
                <w:rFonts w:hint="eastAsia"/>
              </w:rPr>
              <w:t>4.在生态保护红线内的有限人为活动管理要求按照《自然资源部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p>
            <w:pPr>
              <w:widowControl/>
              <w:ind w:left="0" w:leftChars="0" w:right="0" w:rightChars="0"/>
              <w:textAlignment w:val="center"/>
            </w:pPr>
            <w:r>
              <w:rPr>
                <w:rFonts w:hint="eastAsia"/>
              </w:rPr>
              <w:t>5.根据《中华人民共和国防洪法》，满足洪泛区要求。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3" w:type="dxa"/>
            <w:vAlign w:val="center"/>
          </w:tcPr>
          <w:p>
            <w:pPr>
              <w:widowControl/>
              <w:ind w:left="0" w:leftChars="0" w:right="0" w:rightChars="0"/>
              <w:jc w:val="center"/>
              <w:rPr>
                <w:szCs w:val="21"/>
              </w:rPr>
            </w:pPr>
            <w:r>
              <w:rPr>
                <w:rFonts w:hint="eastAsia"/>
                <w:szCs w:val="21"/>
              </w:rPr>
              <w:t>ZH15072610011</w:t>
            </w:r>
          </w:p>
        </w:tc>
        <w:tc>
          <w:tcPr>
            <w:tcW w:w="1146" w:type="dxa"/>
            <w:vAlign w:val="center"/>
          </w:tcPr>
          <w:p>
            <w:pPr>
              <w:widowControl/>
              <w:ind w:left="0" w:leftChars="0" w:right="0" w:rightChars="0"/>
              <w:jc w:val="center"/>
              <w:rPr>
                <w:szCs w:val="21"/>
              </w:rPr>
            </w:pPr>
            <w:r>
              <w:rPr>
                <w:szCs w:val="21"/>
              </w:rPr>
              <w:t>内蒙古乌日根山自治区森林公园</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1.森林公园的设施和景点建设，必须按照总体规划设计进行，在珍贵景物、重要景点和核心景区，除必要的保护和附属设施外，不得建设宾馆、招待所、疗养院和其他工程设施</w:t>
            </w:r>
            <w:r>
              <w:rPr>
                <w:rFonts w:hint="eastAsia"/>
              </w:rPr>
              <w:t>。</w:t>
            </w:r>
          </w:p>
          <w:p>
            <w:pPr>
              <w:widowControl/>
              <w:ind w:left="0" w:leftChars="0" w:right="0" w:rightChars="0"/>
              <w:textAlignment w:val="center"/>
            </w:pPr>
            <w:r>
              <w:t>2.在国家级森林公园内禁止从事下列活动：擅自采折、采挖花草、树木、药材等植物；非法猎捕、杀害野生动物；刻划、污损树木、岩石和文物古迹及葬坟；损毁或者擅自移动园内设施；未经处理直接排放生活污水和超标准的废水、废气，乱倒垃圾、废渣、废物及其他污染物；在非指定的吸烟区吸烟和在非指定区域野外用火、焚烧香蜡纸烛、燃放烟花爆竹；擅自摆摊设点、兜售物品；擅自围、填、堵、截自然水系；毁林开垦和毁林采石、采砂、采土以及其他毁林行为；法律、法规、规章禁止的其他活动</w:t>
            </w:r>
            <w:r>
              <w:rPr>
                <w:rFonts w:hint="eastAsia"/>
              </w:rPr>
              <w:t>。</w:t>
            </w:r>
          </w:p>
          <w:p>
            <w:pPr>
              <w:widowControl/>
              <w:ind w:left="0" w:leftChars="0" w:right="0" w:rightChars="0"/>
              <w:textAlignment w:val="center"/>
            </w:pPr>
            <w:r>
              <w:t>3.生态保护红线内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rFonts w:hint="eastAsia"/>
                <w:szCs w:val="21"/>
              </w:rPr>
              <w:t>ZH15072610012</w:t>
            </w:r>
          </w:p>
        </w:tc>
        <w:tc>
          <w:tcPr>
            <w:tcW w:w="1146" w:type="dxa"/>
            <w:vAlign w:val="center"/>
          </w:tcPr>
          <w:p>
            <w:pPr>
              <w:widowControl/>
              <w:ind w:left="0" w:leftChars="0" w:right="0" w:rightChars="0"/>
              <w:jc w:val="center"/>
              <w:rPr>
                <w:szCs w:val="21"/>
              </w:rPr>
            </w:pPr>
            <w:r>
              <w:rPr>
                <w:szCs w:val="21"/>
              </w:rPr>
              <w:t>内蒙古伊和乌拉国家草原公园</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1.禁止开垦草原。禁止在草原上使用剧毒、高残留以及可能导致二次中毒的农药。禁止向草原及其水域弃置、堆放固体废物和排放倾倒有毒有害的污染物；</w:t>
            </w:r>
          </w:p>
          <w:p>
            <w:pPr>
              <w:widowControl/>
              <w:ind w:left="0" w:leftChars="0" w:right="0" w:rightChars="0"/>
              <w:textAlignment w:val="center"/>
            </w:pPr>
            <w:r>
              <w:t>2.草原公园内的活动严格按照草原公园总体规划要求进行；</w:t>
            </w:r>
          </w:p>
          <w:p>
            <w:pPr>
              <w:widowControl/>
              <w:ind w:left="0" w:leftChars="0" w:right="0" w:rightChars="0"/>
              <w:textAlignment w:val="center"/>
            </w:pPr>
            <w:r>
              <w:t>3.</w:t>
            </w:r>
            <w:r>
              <w:rPr>
                <w:rFonts w:hint="eastAsia"/>
              </w:rPr>
              <w:t>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8" w:hRule="atLeast"/>
        </w:trPr>
        <w:tc>
          <w:tcPr>
            <w:tcW w:w="1073" w:type="dxa"/>
            <w:vAlign w:val="center"/>
          </w:tcPr>
          <w:p>
            <w:pPr>
              <w:widowControl/>
              <w:ind w:left="0" w:leftChars="0" w:right="0" w:rightChars="0"/>
              <w:jc w:val="center"/>
              <w:rPr>
                <w:szCs w:val="21"/>
              </w:rPr>
            </w:pPr>
            <w:r>
              <w:rPr>
                <w:rFonts w:hint="eastAsia"/>
                <w:szCs w:val="21"/>
              </w:rPr>
              <w:t>ZH15072610013</w:t>
            </w:r>
          </w:p>
        </w:tc>
        <w:tc>
          <w:tcPr>
            <w:tcW w:w="1146" w:type="dxa"/>
            <w:vAlign w:val="center"/>
          </w:tcPr>
          <w:p>
            <w:pPr>
              <w:widowControl/>
              <w:ind w:left="0" w:leftChars="0" w:right="0" w:rightChars="0"/>
              <w:jc w:val="center"/>
              <w:rPr>
                <w:szCs w:val="21"/>
              </w:rPr>
            </w:pPr>
            <w:r>
              <w:rPr>
                <w:szCs w:val="21"/>
              </w:rPr>
              <w:t>呼伦贝尔市新巴尔虎左旗水源地</w:t>
            </w:r>
          </w:p>
        </w:tc>
        <w:tc>
          <w:tcPr>
            <w:tcW w:w="900" w:type="dxa"/>
            <w:vAlign w:val="center"/>
          </w:tcPr>
          <w:p>
            <w:pPr>
              <w:widowControl/>
              <w:ind w:left="0" w:leftChars="0" w:right="0" w:rightChars="0"/>
              <w:jc w:val="center"/>
              <w:rPr>
                <w:szCs w:val="21"/>
              </w:rPr>
            </w:pPr>
            <w:r>
              <w:rPr>
                <w:szCs w:val="21"/>
              </w:rPr>
              <w:t>优先保护单元</w:t>
            </w:r>
          </w:p>
        </w:tc>
        <w:tc>
          <w:tcPr>
            <w:tcW w:w="70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jc w:val="left"/>
              <w:textAlignment w:val="center"/>
            </w:pPr>
            <w:r>
              <w:t>5. 在饮用水水源一级保护区内已建成的与供水设施和保护水源无关的建设项目，由旗县级以上人民政府责令拆除或者关闭。</w:t>
            </w:r>
          </w:p>
          <w:p>
            <w:pPr>
              <w:widowControl/>
              <w:ind w:left="0" w:leftChars="0" w:right="0" w:rightChars="0"/>
              <w:jc w:val="left"/>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73" w:type="dxa"/>
            <w:vMerge w:val="restart"/>
            <w:vAlign w:val="center"/>
          </w:tcPr>
          <w:p>
            <w:pPr>
              <w:widowControl/>
              <w:ind w:left="0" w:leftChars="0" w:right="0" w:rightChars="0"/>
              <w:jc w:val="center"/>
              <w:rPr>
                <w:szCs w:val="21"/>
              </w:rPr>
            </w:pPr>
            <w:r>
              <w:rPr>
                <w:rFonts w:hint="eastAsia"/>
                <w:szCs w:val="21"/>
              </w:rPr>
              <w:t>ZH15072620001</w:t>
            </w:r>
          </w:p>
        </w:tc>
        <w:tc>
          <w:tcPr>
            <w:tcW w:w="1146" w:type="dxa"/>
            <w:vMerge w:val="restart"/>
            <w:vAlign w:val="center"/>
          </w:tcPr>
          <w:p>
            <w:pPr>
              <w:widowControl/>
              <w:ind w:left="0" w:leftChars="0" w:right="0" w:rightChars="0"/>
              <w:jc w:val="center"/>
              <w:rPr>
                <w:szCs w:val="21"/>
              </w:rPr>
            </w:pPr>
            <w:r>
              <w:rPr>
                <w:szCs w:val="21"/>
              </w:rPr>
              <w:t>呼伦湖呼伦贝尔市甘珠花控制单元</w:t>
            </w:r>
          </w:p>
        </w:tc>
        <w:tc>
          <w:tcPr>
            <w:tcW w:w="900"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1.针对克鲁伦河中下游、乌尔逊河中下游、呼伦湖东岸等区域，采用封禁恢复、补播改良、工程治理及风滚草拦截资源化利用等修复手段，有效遏制草原荒漠化扩展和生物多样性丧失，减轻干草入水风险。</w:t>
            </w:r>
          </w:p>
          <w:p>
            <w:pPr>
              <w:pStyle w:val="2"/>
              <w:widowControl/>
              <w:ind w:left="0" w:leftChars="0" w:firstLine="0"/>
            </w:pPr>
            <w:r>
              <w:t>2.从湖泊陆域到水域，划定缓冲防护隔离空间，对嘎拉达白辛、呼伦沟等重点区域进行保护修复。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tcPr>
          <w:p>
            <w:pPr>
              <w:widowControl/>
              <w:ind w:left="0" w:leftChars="0" w:right="0" w:rightChars="0"/>
              <w:textAlignment w:val="center"/>
            </w:pPr>
            <w:r>
              <w:rPr>
                <w:rFonts w:hint="eastAsia"/>
              </w:rPr>
              <w:t>1.持续推进化肥农药减量增效，到2025年，实现全区主要农作物化肥、化学农药使用强度降低。提升秸秆综合利用率和农膜回收水平，到 2025 年，全区秸秆综合利用率达到 90%以上，废旧农膜回收率达到 85%。</w:t>
            </w:r>
          </w:p>
          <w:p>
            <w:pPr>
              <w:widowControl/>
              <w:ind w:left="0" w:leftChars="0" w:right="0" w:rightChars="0"/>
              <w:textAlignment w:val="center"/>
            </w:pPr>
            <w:r>
              <w:rPr>
                <w:rFonts w:hint="eastAsia"/>
              </w:rPr>
              <w:t>2.</w:t>
            </w:r>
            <w:r>
              <w:t>加强畜禽养殖污染防治</w:t>
            </w:r>
            <w:r>
              <w:rPr>
                <w:rFonts w:hint="eastAsia"/>
              </w:rPr>
              <w:t>，到2025年，规模养殖场粪污处理设施装备配套率达到95%以上，畜禽粪污综合利用率达到 90%以上</w:t>
            </w:r>
            <w:r>
              <w:t>。</w:t>
            </w:r>
          </w:p>
          <w:p>
            <w:pPr>
              <w:widowControl/>
              <w:ind w:left="0" w:leftChars="0" w:right="0" w:rightChars="0"/>
              <w:textAlignment w:val="center"/>
            </w:pPr>
            <w:r>
              <w:rPr>
                <w:rFonts w:hint="eastAsia"/>
              </w:rPr>
              <w:t>3.</w:t>
            </w:r>
            <w:r>
              <w:t>加强畜禽养殖污染环境监管</w:t>
            </w:r>
            <w:r>
              <w:rPr>
                <w:rFonts w:hint="eastAsia"/>
              </w:rPr>
              <w:t>，</w:t>
            </w:r>
            <w:r>
              <w:t>落实畜禽规模养殖场环境影响评价及排污许可制度</w:t>
            </w:r>
            <w:r>
              <w:rPr>
                <w:rFonts w:hint="eastAsia"/>
              </w:rPr>
              <w:t>。</w:t>
            </w:r>
          </w:p>
          <w:p>
            <w:pPr>
              <w:widowControl/>
              <w:ind w:left="0" w:leftChars="0" w:right="0" w:rightChars="0"/>
              <w:textAlignment w:val="center"/>
            </w:pPr>
            <w:r>
              <w:rPr>
                <w:rFonts w:hint="eastAsia"/>
              </w:rPr>
              <w:t>4.</w:t>
            </w:r>
            <w:r>
              <w:t>到2025 年，全市农村牧区生活污水治理率达到</w:t>
            </w:r>
            <w:r>
              <w:rPr>
                <w:rFonts w:hint="eastAsia"/>
              </w:rPr>
              <w:t>30%，呼伦湖周边农村牧区生活污水治理率达到60%，农村牧区黑臭水体整治率达到100%</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73" w:type="dxa"/>
            <w:vAlign w:val="center"/>
          </w:tcPr>
          <w:p>
            <w:pPr>
              <w:widowControl/>
              <w:ind w:left="0" w:leftChars="0" w:right="0" w:rightChars="0"/>
              <w:jc w:val="center"/>
              <w:rPr>
                <w:szCs w:val="21"/>
              </w:rPr>
            </w:pPr>
            <w:r>
              <w:rPr>
                <w:rFonts w:hint="eastAsia"/>
                <w:szCs w:val="21"/>
              </w:rPr>
              <w:t>ZH15072620002</w:t>
            </w:r>
          </w:p>
        </w:tc>
        <w:tc>
          <w:tcPr>
            <w:tcW w:w="1146" w:type="dxa"/>
            <w:vAlign w:val="center"/>
          </w:tcPr>
          <w:p>
            <w:pPr>
              <w:widowControl/>
              <w:ind w:left="0" w:leftChars="0" w:right="0" w:rightChars="0"/>
              <w:jc w:val="center"/>
              <w:rPr>
                <w:szCs w:val="21"/>
              </w:rPr>
            </w:pPr>
            <w:r>
              <w:rPr>
                <w:szCs w:val="21"/>
              </w:rPr>
              <w:t>辉河呼伦贝尔市入伊敏河控制单元</w:t>
            </w:r>
          </w:p>
        </w:tc>
        <w:tc>
          <w:tcPr>
            <w:tcW w:w="900" w:type="dxa"/>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vAlign w:val="center"/>
          </w:tcPr>
          <w:p>
            <w:pPr>
              <w:widowControl/>
              <w:ind w:left="0" w:leftChars="0" w:right="0" w:rightChars="0"/>
              <w:textAlignment w:val="center"/>
            </w:pPr>
            <w:r>
              <w:rPr>
                <w:rFonts w:hint="eastAsia"/>
              </w:rPr>
              <w:t>1.持续推进化肥农药减量增效，到2025年，实现全区主要农作物化肥、化学农药使用强度降低。提升秸秆综合利用率和农膜回收水平，到 2025 年，全区秸秆综合利用率达到 90%以上，废旧农膜回收率达到 85%。</w:t>
            </w:r>
          </w:p>
          <w:p>
            <w:pPr>
              <w:widowControl/>
              <w:ind w:left="0" w:leftChars="0" w:right="0" w:rightChars="0"/>
              <w:textAlignment w:val="center"/>
            </w:pPr>
            <w:r>
              <w:rPr>
                <w:rFonts w:hint="eastAsia"/>
              </w:rPr>
              <w:t>2.</w:t>
            </w:r>
            <w:r>
              <w:t>加强畜禽养殖污染防治</w:t>
            </w:r>
            <w:r>
              <w:rPr>
                <w:rFonts w:hint="eastAsia"/>
              </w:rPr>
              <w:t>，到2025年，规模养殖场粪污处理设施装备配套率达到95%以上，畜禽粪污综合利用率达到 90%以上</w:t>
            </w:r>
            <w:r>
              <w:t>。</w:t>
            </w:r>
          </w:p>
          <w:p>
            <w:pPr>
              <w:widowControl/>
              <w:ind w:left="0" w:leftChars="0" w:right="0" w:rightChars="0"/>
              <w:textAlignment w:val="center"/>
            </w:pPr>
            <w:r>
              <w:rPr>
                <w:rFonts w:hint="eastAsia"/>
              </w:rPr>
              <w:t>3.</w:t>
            </w:r>
            <w:r>
              <w:t>加强畜禽养殖污染环境监管</w:t>
            </w:r>
            <w:r>
              <w:rPr>
                <w:rFonts w:hint="eastAsia"/>
              </w:rPr>
              <w:t>，</w:t>
            </w:r>
            <w:r>
              <w:t>落实畜禽规模养殖场环境影响评价及排污许可制度</w:t>
            </w:r>
            <w:r>
              <w:rPr>
                <w:rFonts w:hint="eastAsia"/>
              </w:rPr>
              <w:t>。</w:t>
            </w:r>
          </w:p>
          <w:p>
            <w:pPr>
              <w:widowControl/>
              <w:ind w:left="0" w:leftChars="0" w:right="0" w:rightChars="0"/>
              <w:textAlignment w:val="center"/>
            </w:pPr>
            <w:r>
              <w:rPr>
                <w:rFonts w:hint="eastAsia"/>
              </w:rPr>
              <w:t>4.</w:t>
            </w:r>
            <w:r>
              <w:t>到2025 年，全市农村牧区生活污水治理率达到</w:t>
            </w:r>
            <w:r>
              <w:rPr>
                <w:rFonts w:hint="eastAsia"/>
              </w:rPr>
              <w:t>30%，呼伦湖周边农村牧区生活污水治理率达到60%，农村牧区黑臭水体整治率达到100%</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73" w:type="dxa"/>
            <w:vAlign w:val="center"/>
          </w:tcPr>
          <w:p>
            <w:pPr>
              <w:widowControl/>
              <w:ind w:left="0" w:leftChars="0" w:right="0" w:rightChars="0"/>
              <w:jc w:val="center"/>
              <w:rPr>
                <w:szCs w:val="21"/>
              </w:rPr>
            </w:pPr>
            <w:r>
              <w:rPr>
                <w:kern w:val="0"/>
                <w:szCs w:val="21"/>
                <w:lang w:bidi="ar"/>
              </w:rPr>
              <w:t>ZH15072620003</w:t>
            </w:r>
          </w:p>
        </w:tc>
        <w:tc>
          <w:tcPr>
            <w:tcW w:w="1146" w:type="dxa"/>
            <w:vAlign w:val="center"/>
          </w:tcPr>
          <w:p>
            <w:pPr>
              <w:widowControl/>
              <w:ind w:left="0" w:leftChars="0" w:right="0" w:rightChars="0"/>
              <w:jc w:val="center"/>
              <w:rPr>
                <w:szCs w:val="21"/>
              </w:rPr>
            </w:pPr>
            <w:r>
              <w:rPr>
                <w:rFonts w:hint="eastAsia"/>
                <w:szCs w:val="21"/>
              </w:rPr>
              <w:t>新巴尔虎左大气环境弱扩散重点管控区</w:t>
            </w:r>
          </w:p>
        </w:tc>
        <w:tc>
          <w:tcPr>
            <w:tcW w:w="900" w:type="dxa"/>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szCs w:val="21"/>
              </w:rPr>
            </w:pPr>
            <w:r>
              <w:rPr>
                <w:rFonts w:hint="eastAsia"/>
                <w:szCs w:val="21"/>
              </w:rPr>
              <w:t>空间布局约束</w:t>
            </w:r>
          </w:p>
        </w:tc>
        <w:tc>
          <w:tcPr>
            <w:tcW w:w="5653" w:type="dxa"/>
            <w:vAlign w:val="center"/>
          </w:tcPr>
          <w:p>
            <w:pPr>
              <w:widowControl/>
              <w:ind w:left="0" w:leftChars="0" w:right="0" w:rightChars="0"/>
              <w:textAlignment w:val="center"/>
            </w:pPr>
            <w:r>
              <w:rPr>
                <w:rFonts w:hint="eastAsia"/>
              </w:rPr>
              <w:t>科学制定并严格实施城市规划，规范各类产业园区及城市新城、新区设立和布局，进一步推进“多规合一”，形成有利于大气污染物扩散的城市和区域空间格局。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73" w:type="dxa"/>
            <w:vMerge w:val="restart"/>
            <w:vAlign w:val="center"/>
          </w:tcPr>
          <w:p>
            <w:pPr>
              <w:widowControl/>
              <w:ind w:left="0" w:leftChars="0" w:right="0" w:rightChars="0"/>
              <w:jc w:val="center"/>
              <w:rPr>
                <w:szCs w:val="21"/>
              </w:rPr>
            </w:pPr>
            <w:r>
              <w:rPr>
                <w:kern w:val="0"/>
                <w:szCs w:val="21"/>
                <w:lang w:bidi="ar"/>
              </w:rPr>
              <w:t>ZH15072620004</w:t>
            </w:r>
          </w:p>
        </w:tc>
        <w:tc>
          <w:tcPr>
            <w:tcW w:w="1146" w:type="dxa"/>
            <w:vMerge w:val="restart"/>
            <w:vAlign w:val="center"/>
          </w:tcPr>
          <w:p>
            <w:pPr>
              <w:widowControl/>
              <w:ind w:left="0" w:leftChars="0" w:right="0" w:rightChars="0"/>
              <w:jc w:val="center"/>
              <w:rPr>
                <w:szCs w:val="21"/>
              </w:rPr>
            </w:pPr>
            <w:r>
              <w:rPr>
                <w:kern w:val="0"/>
                <w:szCs w:val="21"/>
                <w:lang w:bidi="ar"/>
              </w:rPr>
              <w:t>新巴尔虎左旗城镇空间</w:t>
            </w:r>
          </w:p>
        </w:tc>
        <w:tc>
          <w:tcPr>
            <w:tcW w:w="900"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1.扩大城镇集中供热覆盖范围，加大燃煤小锅炉淘汰力度，鼓励采取太阳能、风能多能互补清洁取暖，旗市区城市建成区原则上不再新建35t/h</w:t>
            </w:r>
            <w:r>
              <w:rPr>
                <w:rFonts w:hint="eastAsia"/>
              </w:rPr>
              <w:t>及</w:t>
            </w:r>
            <w:r>
              <w:t>以下燃煤锅炉。</w:t>
            </w:r>
          </w:p>
          <w:p>
            <w:pPr>
              <w:pStyle w:val="2"/>
              <w:widowControl/>
              <w:ind w:left="0" w:leftChars="0" w:right="0" w:rightChars="0" w:firstLine="0"/>
              <w:textAlignment w:val="center"/>
            </w:pPr>
            <w: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vAlign w:val="center"/>
          </w:tcPr>
          <w:p>
            <w:pPr>
              <w:widowControl/>
              <w:ind w:left="0" w:leftChars="0" w:right="0" w:rightChars="0"/>
              <w:textAlignment w:val="center"/>
            </w:pPr>
            <w:r>
              <w:t>1.提升城镇生活污水收集管网覆盖率，逐步实施雨污管网分流改造、管网更新、破损修复、中水回用等工程。</w:t>
            </w:r>
          </w:p>
          <w:p>
            <w:pPr>
              <w:pStyle w:val="2"/>
              <w:widowControl/>
              <w:ind w:left="0" w:leftChars="0" w:right="0" w:rightChars="0" w:firstLine="0"/>
              <w:textAlignment w:val="center"/>
            </w:pPr>
            <w: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3" w:type="dxa"/>
            <w:vAlign w:val="center"/>
          </w:tcPr>
          <w:p>
            <w:pPr>
              <w:widowControl/>
              <w:ind w:left="0" w:leftChars="0" w:right="0" w:rightChars="0"/>
              <w:textAlignment w:val="center"/>
            </w:pPr>
            <w:r>
              <w:rPr>
                <w:rFonts w:hint="eastAsia"/>
              </w:rPr>
              <w:t>1</w:t>
            </w:r>
            <w:r>
              <w:t>.高污染燃料禁燃区内任何单位不得新建、扩建高污染燃料燃用设施，不得将其他燃料燃用设施改造为高污染燃料燃用设施。高污染燃料销售单位应按照要求逐步取消禁燃区内的销售网点。对于现有的高污染燃料燃用设施,有关单位和个人应当按照规定予以拆除或者改用电、液化石油气等清洁能源。</w:t>
            </w:r>
          </w:p>
          <w:p>
            <w:pPr>
              <w:pStyle w:val="2"/>
              <w:widowControl/>
              <w:ind w:left="0" w:leftChars="0" w:right="0" w:rightChars="0" w:firstLine="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restart"/>
            <w:vAlign w:val="center"/>
          </w:tcPr>
          <w:p>
            <w:pPr>
              <w:widowControl/>
              <w:ind w:left="0" w:leftChars="0" w:right="0" w:rightChars="0"/>
              <w:jc w:val="center"/>
              <w:rPr>
                <w:szCs w:val="21"/>
              </w:rPr>
            </w:pPr>
            <w:r>
              <w:rPr>
                <w:rFonts w:hint="eastAsia"/>
                <w:szCs w:val="21"/>
              </w:rPr>
              <w:t>ZH15072620005</w:t>
            </w:r>
          </w:p>
        </w:tc>
        <w:tc>
          <w:tcPr>
            <w:tcW w:w="1146" w:type="dxa"/>
            <w:vMerge w:val="restart"/>
            <w:vAlign w:val="center"/>
          </w:tcPr>
          <w:p>
            <w:pPr>
              <w:widowControl/>
              <w:ind w:left="0" w:leftChars="0" w:right="0" w:rightChars="0"/>
              <w:jc w:val="center"/>
              <w:rPr>
                <w:szCs w:val="21"/>
              </w:rPr>
            </w:pPr>
            <w:r>
              <w:rPr>
                <w:rFonts w:hint="eastAsia"/>
                <w:szCs w:val="21"/>
              </w:rPr>
              <w:t>新巴尔虎左旗胡列也吐矿区</w:t>
            </w:r>
          </w:p>
        </w:tc>
        <w:tc>
          <w:tcPr>
            <w:tcW w:w="900"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5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3"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restart"/>
            <w:vAlign w:val="center"/>
          </w:tcPr>
          <w:p>
            <w:pPr>
              <w:widowControl/>
              <w:ind w:left="0" w:leftChars="0" w:right="0" w:rightChars="0"/>
              <w:jc w:val="center"/>
              <w:rPr>
                <w:szCs w:val="21"/>
              </w:rPr>
            </w:pPr>
            <w:r>
              <w:rPr>
                <w:rFonts w:hint="eastAsia"/>
                <w:szCs w:val="21"/>
              </w:rPr>
              <w:t>ZH15072620006</w:t>
            </w:r>
          </w:p>
        </w:tc>
        <w:tc>
          <w:tcPr>
            <w:tcW w:w="1146" w:type="dxa"/>
            <w:vMerge w:val="restart"/>
            <w:vAlign w:val="center"/>
          </w:tcPr>
          <w:p>
            <w:pPr>
              <w:widowControl/>
              <w:ind w:left="0" w:leftChars="0" w:right="0" w:rightChars="0"/>
              <w:jc w:val="center"/>
              <w:rPr>
                <w:szCs w:val="21"/>
              </w:rPr>
            </w:pPr>
            <w:r>
              <w:rPr>
                <w:rFonts w:hint="eastAsia"/>
                <w:szCs w:val="21"/>
              </w:rPr>
              <w:t>新巴尔虎左旗五一牧场矿区</w:t>
            </w:r>
          </w:p>
        </w:tc>
        <w:tc>
          <w:tcPr>
            <w:tcW w:w="900"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5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3"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ZH15072620007</w:t>
            </w:r>
          </w:p>
        </w:tc>
        <w:tc>
          <w:tcPr>
            <w:tcW w:w="1146" w:type="dxa"/>
            <w:vMerge w:val="restart"/>
            <w:vAlign w:val="center"/>
          </w:tcPr>
          <w:p>
            <w:pPr>
              <w:widowControl/>
              <w:ind w:left="0" w:leftChars="0" w:right="0" w:rightChars="0"/>
              <w:jc w:val="center"/>
              <w:rPr>
                <w:szCs w:val="21"/>
              </w:rPr>
            </w:pPr>
            <w:r>
              <w:rPr>
                <w:szCs w:val="21"/>
              </w:rPr>
              <w:t>新巴尔虎左旗非金属矿</w:t>
            </w:r>
          </w:p>
        </w:tc>
        <w:tc>
          <w:tcPr>
            <w:tcW w:w="900"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5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pPr>
          </w:p>
          <w:p>
            <w:pPr>
              <w:pStyle w:val="2"/>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3"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ZH15072620008</w:t>
            </w:r>
          </w:p>
        </w:tc>
        <w:tc>
          <w:tcPr>
            <w:tcW w:w="1146" w:type="dxa"/>
            <w:vMerge w:val="restart"/>
            <w:vAlign w:val="center"/>
          </w:tcPr>
          <w:p>
            <w:pPr>
              <w:widowControl/>
              <w:ind w:left="0" w:leftChars="0" w:right="0" w:rightChars="0"/>
              <w:jc w:val="center"/>
              <w:rPr>
                <w:szCs w:val="21"/>
              </w:rPr>
            </w:pPr>
            <w:r>
              <w:rPr>
                <w:szCs w:val="21"/>
              </w:rPr>
              <w:t>新巴尔虎左旗金属矿</w:t>
            </w:r>
          </w:p>
        </w:tc>
        <w:tc>
          <w:tcPr>
            <w:tcW w:w="900"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5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3"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ZH15072620009</w:t>
            </w:r>
          </w:p>
        </w:tc>
        <w:tc>
          <w:tcPr>
            <w:tcW w:w="1146" w:type="dxa"/>
            <w:vMerge w:val="restart"/>
            <w:vAlign w:val="center"/>
          </w:tcPr>
          <w:p>
            <w:pPr>
              <w:widowControl/>
              <w:ind w:left="0" w:leftChars="0" w:right="0" w:rightChars="0"/>
              <w:jc w:val="center"/>
              <w:rPr>
                <w:szCs w:val="21"/>
              </w:rPr>
            </w:pPr>
            <w:r>
              <w:rPr>
                <w:rFonts w:hint="eastAsia"/>
                <w:szCs w:val="21"/>
              </w:rPr>
              <w:t>新巴尔虎左旗扎赉诺尔矿区</w:t>
            </w:r>
          </w:p>
        </w:tc>
        <w:tc>
          <w:tcPr>
            <w:tcW w:w="900" w:type="dxa"/>
            <w:vMerge w:val="restart"/>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污染物排放管控</w:t>
            </w:r>
          </w:p>
        </w:tc>
        <w:tc>
          <w:tcPr>
            <w:tcW w:w="565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szCs w:val="21"/>
              </w:rPr>
              <w:t>环境风险防控</w:t>
            </w:r>
          </w:p>
        </w:tc>
        <w:tc>
          <w:tcPr>
            <w:tcW w:w="565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46" w:type="dxa"/>
            <w:vMerge w:val="continue"/>
            <w:vAlign w:val="center"/>
          </w:tcPr>
          <w:p>
            <w:pPr>
              <w:widowControl/>
              <w:ind w:left="0" w:leftChars="0" w:right="0" w:rightChars="0"/>
              <w:jc w:val="center"/>
              <w:rPr>
                <w:szCs w:val="21"/>
              </w:rPr>
            </w:pPr>
          </w:p>
        </w:tc>
        <w:tc>
          <w:tcPr>
            <w:tcW w:w="900" w:type="dxa"/>
            <w:vMerge w:val="continue"/>
            <w:vAlign w:val="center"/>
          </w:tcPr>
          <w:p>
            <w:pPr>
              <w:widowControl/>
              <w:ind w:left="0" w:leftChars="0" w:right="0" w:rightChars="0"/>
              <w:jc w:val="center"/>
              <w:rPr>
                <w:szCs w:val="21"/>
              </w:rPr>
            </w:pP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3"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ZH15072620010</w:t>
            </w:r>
          </w:p>
        </w:tc>
        <w:tc>
          <w:tcPr>
            <w:tcW w:w="1146" w:type="dxa"/>
            <w:vAlign w:val="center"/>
          </w:tcPr>
          <w:p>
            <w:pPr>
              <w:widowControl/>
              <w:ind w:left="0" w:leftChars="0" w:right="0" w:rightChars="0"/>
              <w:jc w:val="center"/>
              <w:rPr>
                <w:szCs w:val="21"/>
              </w:rPr>
            </w:pPr>
            <w:r>
              <w:rPr>
                <w:szCs w:val="21"/>
              </w:rPr>
              <w:t>新巴尔虎左旗生态用水补给区</w:t>
            </w:r>
          </w:p>
        </w:tc>
        <w:tc>
          <w:tcPr>
            <w:tcW w:w="900" w:type="dxa"/>
            <w:vAlign w:val="center"/>
          </w:tcPr>
          <w:p>
            <w:pPr>
              <w:widowControl/>
              <w:ind w:left="0" w:leftChars="0" w:right="0" w:rightChars="0"/>
              <w:jc w:val="center"/>
              <w:rPr>
                <w:szCs w:val="21"/>
              </w:rPr>
            </w:pPr>
            <w:r>
              <w:rPr>
                <w:szCs w:val="21"/>
              </w:rPr>
              <w:t>重点管控单元</w:t>
            </w:r>
          </w:p>
        </w:tc>
        <w:tc>
          <w:tcPr>
            <w:tcW w:w="70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53" w:type="dxa"/>
            <w:vAlign w:val="center"/>
          </w:tcPr>
          <w:p>
            <w:pPr>
              <w:widowControl/>
              <w:ind w:left="0" w:leftChars="0" w:right="0" w:rightChars="0"/>
              <w:textAlignment w:val="center"/>
            </w:pPr>
            <w:r>
              <w:t>1.实施生态流量保障考核评估，强化生态流量管控，落实河湖生态水量（流量）保障的目标要求。</w:t>
            </w:r>
          </w:p>
          <w:p>
            <w:pPr>
              <w:widowControl/>
              <w:ind w:left="0" w:leftChars="0" w:right="0" w:rightChars="0"/>
              <w:textAlignment w:val="center"/>
            </w:pPr>
            <w:r>
              <w:t>2.新增用水项目应满足国家相关节水要求。建立高耗水行业负面清单，同时结合呼伦贝尔市优势产业发展布局，限制高耗水项目入驻，加快发展新能源、新科技以及现代物流等新兴节水产业。</w:t>
            </w:r>
          </w:p>
          <w:p>
            <w:pPr>
              <w:widowControl/>
              <w:ind w:left="0" w:leftChars="0" w:right="0" w:rightChars="0"/>
              <w:textAlignment w:val="center"/>
            </w:pPr>
            <w:r>
              <w:t>3.实行规划和建设项目节水评价，强化规划制定、建设项目立项、水资源论证中节水有关内容和要求；规范取水许可管理。</w:t>
            </w:r>
          </w:p>
          <w:p>
            <w:pPr>
              <w:widowControl/>
              <w:ind w:left="0" w:leftChars="0" w:right="0" w:rightChars="0"/>
              <w:textAlignment w:val="center"/>
            </w:pPr>
            <w:r>
              <w:t>4.优化呼伦湖调配流域水资源。科学优化现行生态调水方案，增强流域生态补水、调水及流域水源的涵养能力，保持呼伦湖多年平均湖面水位在542.5米（对应湖面面积2006.5平方公里）以上。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Align w:val="center"/>
          </w:tcPr>
          <w:p>
            <w:pPr>
              <w:widowControl/>
              <w:ind w:left="0" w:leftChars="0" w:right="0" w:rightChars="0"/>
              <w:jc w:val="center"/>
              <w:rPr>
                <w:kern w:val="0"/>
                <w:szCs w:val="21"/>
                <w:lang w:bidi="ar"/>
              </w:rPr>
            </w:pPr>
            <w:r>
              <w:rPr>
                <w:kern w:val="0"/>
                <w:szCs w:val="21"/>
                <w:lang w:bidi="ar"/>
              </w:rPr>
              <w:t>ZH15072630001</w:t>
            </w:r>
          </w:p>
        </w:tc>
        <w:tc>
          <w:tcPr>
            <w:tcW w:w="1146" w:type="dxa"/>
            <w:vAlign w:val="center"/>
          </w:tcPr>
          <w:p>
            <w:pPr>
              <w:widowControl/>
              <w:ind w:left="0" w:leftChars="0" w:right="0" w:rightChars="0"/>
              <w:jc w:val="center"/>
              <w:rPr>
                <w:kern w:val="0"/>
                <w:szCs w:val="21"/>
                <w:lang w:bidi="ar"/>
              </w:rPr>
            </w:pPr>
            <w:r>
              <w:rPr>
                <w:kern w:val="0"/>
                <w:szCs w:val="21"/>
                <w:lang w:bidi="ar"/>
              </w:rPr>
              <w:t>新巴尔虎左旗一般管控单元</w:t>
            </w:r>
          </w:p>
        </w:tc>
        <w:tc>
          <w:tcPr>
            <w:tcW w:w="900" w:type="dxa"/>
            <w:vAlign w:val="center"/>
          </w:tcPr>
          <w:p>
            <w:pPr>
              <w:widowControl/>
              <w:ind w:left="0" w:leftChars="0" w:right="0" w:rightChars="0"/>
              <w:jc w:val="center"/>
              <w:rPr>
                <w:szCs w:val="21"/>
              </w:rPr>
            </w:pPr>
            <w:r>
              <w:rPr>
                <w:szCs w:val="21"/>
              </w:rPr>
              <w:t>一般管控单元</w:t>
            </w:r>
          </w:p>
        </w:tc>
        <w:tc>
          <w:tcPr>
            <w:tcW w:w="703" w:type="dxa"/>
            <w:vAlign w:val="center"/>
          </w:tcPr>
          <w:p>
            <w:pPr>
              <w:widowControl/>
              <w:ind w:left="0" w:leftChars="0" w:right="0" w:rightChars="0"/>
              <w:jc w:val="center"/>
              <w:rPr>
                <w:kern w:val="0"/>
                <w:szCs w:val="21"/>
                <w:lang w:bidi="ar"/>
              </w:rPr>
            </w:pPr>
            <w:r>
              <w:rPr>
                <w:kern w:val="0"/>
                <w:szCs w:val="21"/>
                <w:lang w:bidi="ar"/>
              </w:rPr>
              <w:t>空间布局约束</w:t>
            </w:r>
          </w:p>
        </w:tc>
        <w:tc>
          <w:tcPr>
            <w:tcW w:w="5653" w:type="dxa"/>
            <w:vAlign w:val="center"/>
          </w:tcPr>
          <w:p>
            <w:pPr>
              <w:widowControl/>
              <w:ind w:left="0" w:leftChars="0" w:right="0" w:rightChars="0"/>
              <w:textAlignment w:val="center"/>
            </w:pPr>
            <w:r>
              <w:t xml:space="preserve">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 </w:t>
            </w:r>
          </w:p>
          <w:p>
            <w:pPr>
              <w:widowControl/>
              <w:ind w:left="0" w:leftChars="0" w:right="0" w:rightChars="0"/>
              <w:textAlignment w:val="center"/>
            </w:pPr>
            <w:r>
              <w:t xml:space="preserve">2.在永久基本农田集中区域，不得新建可能造成土壤污染的建设项目；已经建成的，应当限期关闭拆除。 </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54" w:name="_Toc142233289"/>
      <w:r>
        <w:rPr>
          <w:rFonts w:ascii="Times New Roman" w:hAnsi="Times New Roman" w:eastAsia="仿宋_GB2312"/>
        </w:rPr>
        <w:t>（十三）呼伦贝尔市新巴尔虎右旗生态环境准入清单</w:t>
      </w:r>
      <w:bookmarkEnd w:id="54"/>
    </w:p>
    <w:p>
      <w:pPr>
        <w:adjustRightInd/>
        <w:snapToGrid/>
        <w:spacing w:line="500" w:lineRule="exact"/>
        <w:ind w:left="0" w:leftChars="0" w:right="0" w:rightChars="0"/>
        <w:jc w:val="center"/>
        <w:rPr>
          <w:b/>
          <w:bCs/>
          <w:sz w:val="28"/>
          <w:szCs w:val="28"/>
        </w:rPr>
      </w:pPr>
      <w:r>
        <w:rPr>
          <w:b/>
          <w:bCs/>
          <w:sz w:val="28"/>
          <w:szCs w:val="28"/>
        </w:rPr>
        <w:t>表13呼伦贝尔市新巴尔虎右旗生态环境准入清单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9"/>
        <w:gridCol w:w="1665"/>
        <w:gridCol w:w="1400"/>
        <w:gridCol w:w="1035"/>
        <w:gridCol w:w="8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085" w:type="dxa"/>
            <w:vAlign w:val="center"/>
          </w:tcPr>
          <w:p>
            <w:pPr>
              <w:widowControl/>
              <w:ind w:left="0" w:leftChars="0" w:right="0" w:rightChars="0"/>
              <w:jc w:val="center"/>
              <w:rPr>
                <w:b/>
                <w:bCs/>
                <w:szCs w:val="21"/>
              </w:rPr>
            </w:pPr>
            <w:r>
              <w:rPr>
                <w:b/>
                <w:bCs/>
                <w:szCs w:val="21"/>
              </w:rPr>
              <w:t>环境管控单元编码</w:t>
            </w:r>
          </w:p>
        </w:tc>
        <w:tc>
          <w:tcPr>
            <w:tcW w:w="1115" w:type="dxa"/>
            <w:vAlign w:val="center"/>
          </w:tcPr>
          <w:p>
            <w:pPr>
              <w:widowControl/>
              <w:ind w:left="0" w:leftChars="0" w:right="0" w:rightChars="0"/>
              <w:jc w:val="center"/>
              <w:rPr>
                <w:b/>
                <w:bCs/>
                <w:szCs w:val="21"/>
              </w:rPr>
            </w:pPr>
            <w:r>
              <w:rPr>
                <w:b/>
                <w:bCs/>
                <w:szCs w:val="21"/>
              </w:rPr>
              <w:t>环境管控单元名称</w:t>
            </w:r>
          </w:p>
        </w:tc>
        <w:tc>
          <w:tcPr>
            <w:tcW w:w="938" w:type="dxa"/>
            <w:vAlign w:val="center"/>
          </w:tcPr>
          <w:p>
            <w:pPr>
              <w:widowControl/>
              <w:ind w:left="0" w:leftChars="0" w:right="0" w:rightChars="0"/>
              <w:jc w:val="center"/>
              <w:rPr>
                <w:b/>
                <w:bCs/>
                <w:szCs w:val="21"/>
              </w:rPr>
            </w:pPr>
            <w:r>
              <w:rPr>
                <w:b/>
                <w:bCs/>
                <w:szCs w:val="21"/>
              </w:rPr>
              <w:t>管控单元类别</w:t>
            </w:r>
          </w:p>
        </w:tc>
        <w:tc>
          <w:tcPr>
            <w:tcW w:w="6356"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szCs w:val="21"/>
              </w:rPr>
              <w:t>ZH15072710001</w:t>
            </w:r>
          </w:p>
        </w:tc>
        <w:tc>
          <w:tcPr>
            <w:tcW w:w="1115" w:type="dxa"/>
            <w:vAlign w:val="center"/>
          </w:tcPr>
          <w:p>
            <w:pPr>
              <w:widowControl/>
              <w:ind w:left="0" w:leftChars="0" w:right="0" w:rightChars="0"/>
              <w:jc w:val="center"/>
              <w:rPr>
                <w:szCs w:val="21"/>
              </w:rPr>
            </w:pPr>
            <w:r>
              <w:rPr>
                <w:szCs w:val="21"/>
              </w:rPr>
              <w:t>呼伦贝尔市新巴尔虎右旗水源地</w:t>
            </w:r>
          </w:p>
        </w:tc>
        <w:tc>
          <w:tcPr>
            <w:tcW w:w="938" w:type="dxa"/>
            <w:vAlign w:val="center"/>
          </w:tcPr>
          <w:p>
            <w:pPr>
              <w:widowControl/>
              <w:ind w:left="0" w:leftChars="0" w:right="0" w:rightChars="0"/>
              <w:jc w:val="center"/>
              <w:rPr>
                <w:szCs w:val="21"/>
              </w:rPr>
            </w:pPr>
            <w:r>
              <w:rPr>
                <w:szCs w:val="21"/>
              </w:rPr>
              <w:t>优先保护单元</w:t>
            </w:r>
          </w:p>
        </w:tc>
        <w:tc>
          <w:tcPr>
            <w:tcW w:w="69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 在饮用水水源一级保护区内已建成的与供水设施和保护水源无关的建设项目，由旗县级以上人民政府责令拆除或者关闭。</w:t>
            </w:r>
          </w:p>
          <w:p>
            <w:pPr>
              <w:widowControl/>
              <w:ind w:left="0" w:leftChars="0" w:right="0" w:rightChars="0"/>
              <w:textAlignment w:val="center"/>
            </w:pPr>
            <w:r>
              <w:rPr>
                <w:rFonts w:hint="eastAsia"/>
              </w:rPr>
              <w:t>6.在生态保护红线内的有限人为活动管理要求按照《自然资源部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rFonts w:hint="eastAsia"/>
                <w:szCs w:val="21"/>
              </w:rPr>
              <w:t>ZH15072710002</w:t>
            </w:r>
          </w:p>
        </w:tc>
        <w:tc>
          <w:tcPr>
            <w:tcW w:w="1115" w:type="dxa"/>
            <w:vAlign w:val="center"/>
          </w:tcPr>
          <w:p>
            <w:pPr>
              <w:widowControl/>
              <w:ind w:left="0" w:leftChars="0" w:right="0" w:rightChars="0"/>
              <w:jc w:val="center"/>
              <w:rPr>
                <w:szCs w:val="21"/>
              </w:rPr>
            </w:pPr>
            <w:r>
              <w:rPr>
                <w:szCs w:val="21"/>
              </w:rPr>
              <w:t>新巴尔虎右旗生物多样性维护生态功能重要区域</w:t>
            </w:r>
          </w:p>
        </w:tc>
        <w:tc>
          <w:tcPr>
            <w:tcW w:w="938" w:type="dxa"/>
            <w:vAlign w:val="center"/>
          </w:tcPr>
          <w:p>
            <w:pPr>
              <w:widowControl/>
              <w:ind w:left="0" w:leftChars="0" w:right="0" w:rightChars="0"/>
              <w:jc w:val="center"/>
              <w:rPr>
                <w:szCs w:val="21"/>
              </w:rPr>
            </w:pPr>
            <w:r>
              <w:rPr>
                <w:szCs w:val="21"/>
              </w:rPr>
              <w:t>优先保护单元</w:t>
            </w:r>
          </w:p>
        </w:tc>
        <w:tc>
          <w:tcPr>
            <w:tcW w:w="69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pStyle w:val="2"/>
              <w:ind w:left="0" w:leftChars="0" w:firstLine="0"/>
            </w:pPr>
            <w:r>
              <w:t>2.禁止生物多样性维护生态功能区的大规模水电开发和林纸一体化产业发展；</w:t>
            </w:r>
          </w:p>
          <w:p>
            <w:pPr>
              <w:pStyle w:val="2"/>
              <w:ind w:left="0" w:leftChars="0" w:firstLine="0"/>
            </w:pPr>
            <w:r>
              <w:rPr>
                <w:rFonts w:hint="eastAsia"/>
              </w:rPr>
              <w:t>3.新巴尔虎右旗生物多样性维护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rFonts w:hint="eastAsia"/>
                <w:szCs w:val="21"/>
              </w:rPr>
              <w:t>ZH15072710003</w:t>
            </w:r>
          </w:p>
        </w:tc>
        <w:tc>
          <w:tcPr>
            <w:tcW w:w="1115" w:type="dxa"/>
            <w:vAlign w:val="center"/>
          </w:tcPr>
          <w:p>
            <w:pPr>
              <w:widowControl/>
              <w:ind w:left="0" w:leftChars="0" w:right="0" w:rightChars="0"/>
              <w:jc w:val="center"/>
              <w:rPr>
                <w:szCs w:val="21"/>
              </w:rPr>
            </w:pPr>
            <w:r>
              <w:rPr>
                <w:rFonts w:hint="eastAsia"/>
                <w:szCs w:val="21"/>
              </w:rPr>
              <w:t>呼伦贝尔草原生物多样性维护和防风固沙生态保护红线</w:t>
            </w:r>
          </w:p>
        </w:tc>
        <w:tc>
          <w:tcPr>
            <w:tcW w:w="938" w:type="dxa"/>
            <w:vAlign w:val="center"/>
          </w:tcPr>
          <w:p>
            <w:pPr>
              <w:widowControl/>
              <w:ind w:left="0" w:leftChars="0" w:right="0" w:rightChars="0"/>
              <w:jc w:val="center"/>
              <w:rPr>
                <w:szCs w:val="21"/>
              </w:rPr>
            </w:pPr>
            <w:r>
              <w:rPr>
                <w:szCs w:val="21"/>
              </w:rPr>
              <w:t>优先保护单元</w:t>
            </w:r>
          </w:p>
        </w:tc>
        <w:tc>
          <w:tcPr>
            <w:tcW w:w="69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widowControl/>
              <w:ind w:left="0" w:leftChars="0" w:right="0" w:rightChars="0"/>
              <w:textAlignment w:val="center"/>
            </w:pPr>
            <w:r>
              <w:t>2.禁止生物多样性维护生态功能区的大规模水电开发和林纸一体化产业发展；</w:t>
            </w:r>
          </w:p>
          <w:p>
            <w:pPr>
              <w:widowControl/>
              <w:ind w:left="0" w:leftChars="0" w:right="0" w:rightChars="0"/>
              <w:textAlignment w:val="center"/>
            </w:pPr>
            <w:r>
              <w:t>3.降低防风固沙生态功能区的农牧业开发强度；禁止过度开垦、不适当樵采和超载过牧，退牧还草，防治草场退化沙化；</w:t>
            </w:r>
          </w:p>
          <w:p>
            <w:pPr>
              <w:widowControl/>
              <w:ind w:left="0" w:leftChars="0" w:right="0" w:rightChars="0"/>
              <w:textAlignment w:val="center"/>
            </w:pPr>
            <w:r>
              <w:t>4.转变畜牧业生产方式，实行禁牧休牧，推行舍饲圈养，以草定畜，严格控制载畜量。加大退耕还林、退牧还草力度，恢复草原植被。加强对内陆河流的规划和管理，保护沙区湿地，禁止发展高耗水工业。对主要沙尘源区、沙尘暴频发区实行封禁管理</w:t>
            </w:r>
            <w:r>
              <w:rPr>
                <w:rFonts w:hint="eastAsia"/>
              </w:rPr>
              <w:t>；</w:t>
            </w:r>
          </w:p>
          <w:p>
            <w:pPr>
              <w:widowControl/>
              <w:ind w:left="0" w:leftChars="0" w:right="0" w:rightChars="0"/>
              <w:textAlignment w:val="center"/>
            </w:pPr>
            <w:r>
              <w:rPr>
                <w:rFonts w:hint="eastAsia"/>
              </w:rPr>
              <w:t>5.</w:t>
            </w:r>
            <w:r>
              <w:t>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szCs w:val="21"/>
              </w:rPr>
              <w:t>ZH15072710004</w:t>
            </w:r>
          </w:p>
        </w:tc>
        <w:tc>
          <w:tcPr>
            <w:tcW w:w="1115" w:type="dxa"/>
            <w:vAlign w:val="center"/>
          </w:tcPr>
          <w:p>
            <w:pPr>
              <w:widowControl/>
              <w:ind w:left="0" w:leftChars="0" w:right="0" w:rightChars="0"/>
              <w:jc w:val="center"/>
              <w:rPr>
                <w:szCs w:val="21"/>
              </w:rPr>
            </w:pPr>
            <w:r>
              <w:rPr>
                <w:szCs w:val="21"/>
              </w:rPr>
              <w:t>内蒙古呼伦湖国家级自然保护区</w:t>
            </w:r>
          </w:p>
        </w:tc>
        <w:tc>
          <w:tcPr>
            <w:tcW w:w="938" w:type="dxa"/>
            <w:vAlign w:val="center"/>
          </w:tcPr>
          <w:p>
            <w:pPr>
              <w:widowControl/>
              <w:ind w:left="0" w:leftChars="0" w:right="0" w:rightChars="0"/>
              <w:jc w:val="center"/>
              <w:rPr>
                <w:szCs w:val="21"/>
              </w:rPr>
            </w:pPr>
            <w:r>
              <w:rPr>
                <w:szCs w:val="21"/>
              </w:rPr>
              <w:t>优先保护单元</w:t>
            </w:r>
          </w:p>
        </w:tc>
        <w:tc>
          <w:tcPr>
            <w:tcW w:w="693" w:type="dxa"/>
            <w:vAlign w:val="center"/>
          </w:tcPr>
          <w:p>
            <w:pPr>
              <w:widowControl/>
              <w:ind w:left="0" w:leftChars="0" w:right="0" w:rightChars="0"/>
              <w:jc w:val="center"/>
              <w:textAlignment w:val="center"/>
              <w:rPr>
                <w:szCs w:val="21"/>
              </w:rPr>
            </w:pPr>
            <w:r>
              <w:rPr>
                <w:kern w:val="0"/>
                <w:szCs w:val="21"/>
                <w:lang w:bidi="ar"/>
              </w:rPr>
              <w:t>空间布局约束</w:t>
            </w:r>
          </w:p>
        </w:tc>
        <w:tc>
          <w:tcPr>
            <w:tcW w:w="5663"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.在实验区从事科研、教学、采集标本、参观、旅游活动的单位或者个人，应当遵守自然保护区管理的有关规定。</w:t>
            </w:r>
          </w:p>
          <w:p>
            <w:pPr>
              <w:widowControl/>
              <w:ind w:left="0" w:leftChars="0" w:right="0" w:rightChars="0"/>
              <w:textAlignment w:val="center"/>
            </w:pPr>
            <w:r>
              <w:rPr>
                <w:rFonts w:hint="eastAsia"/>
              </w:rPr>
              <w:t>7</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8.在生态保护红线内的有限人为活动管理要求按照《自然资源部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rFonts w:hint="eastAsia"/>
                <w:szCs w:val="21"/>
              </w:rPr>
              <w:t>ZH15072710005</w:t>
            </w:r>
          </w:p>
        </w:tc>
        <w:tc>
          <w:tcPr>
            <w:tcW w:w="1115" w:type="dxa"/>
            <w:vAlign w:val="center"/>
          </w:tcPr>
          <w:p>
            <w:pPr>
              <w:widowControl/>
              <w:ind w:left="0" w:leftChars="0" w:right="0" w:rightChars="0"/>
              <w:jc w:val="center"/>
              <w:rPr>
                <w:szCs w:val="21"/>
              </w:rPr>
            </w:pPr>
            <w:r>
              <w:rPr>
                <w:szCs w:val="21"/>
              </w:rPr>
              <w:t>呼伦贝尔市新巴尔虎右旗水源地</w:t>
            </w:r>
          </w:p>
        </w:tc>
        <w:tc>
          <w:tcPr>
            <w:tcW w:w="938" w:type="dxa"/>
            <w:vAlign w:val="center"/>
          </w:tcPr>
          <w:p>
            <w:pPr>
              <w:widowControl/>
              <w:ind w:left="0" w:leftChars="0" w:right="0" w:rightChars="0"/>
              <w:jc w:val="center"/>
              <w:rPr>
                <w:szCs w:val="21"/>
              </w:rPr>
            </w:pPr>
            <w:r>
              <w:rPr>
                <w:szCs w:val="21"/>
              </w:rPr>
              <w:t>优先保护单元</w:t>
            </w:r>
          </w:p>
        </w:tc>
        <w:tc>
          <w:tcPr>
            <w:tcW w:w="69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1.在饮用水水源准保护区内，禁止下列行为：</w:t>
            </w:r>
          </w:p>
          <w:p>
            <w:pPr>
              <w:widowControl/>
              <w:ind w:left="0" w:leftChars="0" w:right="0" w:rightChars="0"/>
              <w:textAlignment w:val="center"/>
            </w:pPr>
            <w:r>
              <w:t>新建、扩建化工、生物发酵、电镀、皮革、冶炼、放射性、炼油、炼焦以及其他严重污染水体的建设项目，改建增加排污量的项目；进行可能严重影响饮用水水源水质和水量的矿产勘查、采选等活动；倾倒、堆放工业废渣、垃圾、粪便以及其他废弃物；破坏水源涵养林、护岸林以及水源保护相关植被的活动； 利用渗井、废弃矿井、废弃井孔等排放工业废水、生活污水、矿坑水；使用剧毒、高毒、高残留农药或者过度使用化肥；法律、法规规定的其他可能污染饮用水水源的行为。</w:t>
            </w:r>
          </w:p>
          <w:p>
            <w:pPr>
              <w:widowControl/>
              <w:ind w:left="0" w:leftChars="0" w:right="0" w:rightChars="0"/>
              <w:textAlignment w:val="center"/>
            </w:pPr>
            <w:r>
              <w:t>2.在饮用水水源二级保护区内，除饮用水水源准保护区内禁止的行为外，还禁止下列行为：</w:t>
            </w:r>
          </w:p>
          <w:p>
            <w:pPr>
              <w:widowControl/>
              <w:ind w:left="0" w:leftChars="0" w:right="0" w:rightChars="0"/>
              <w:textAlignment w:val="center"/>
            </w:pPr>
            <w:r>
              <w:t>设置排污口；新建、改建、扩建排放污染物的建设项目或者其他设施，已建成的排放污染物的建设项目，由县级以上人民政府责令拆除或者关闭;影响水源补给的活动以及与饮用水供水无关的勘查、开采活动；新建、扩建油库、加油站；建立火葬场、墓地;设置畜禽养殖场、养殖小区；利用未经净化处理达标的污水灌溉农田；超过标准使用农药、化肥、含磷洗涤剂；掩埋、弃置动物尸体； 从事挖沙、取土、采石和其他可能造成水土流失的活动；法律、法规规定的其他可能污染饮用水水源的行为。</w:t>
            </w:r>
          </w:p>
          <w:p>
            <w:pPr>
              <w:widowControl/>
              <w:ind w:left="0" w:leftChars="0" w:right="0" w:rightChars="0"/>
              <w:textAlignment w:val="center"/>
            </w:pPr>
            <w:r>
              <w:t>3.在饮用水水源一级保护区内，除饮用水水源准保护区、二级保护区内禁止的行为外，还禁止下列行为：</w:t>
            </w:r>
          </w:p>
          <w:p>
            <w:pPr>
              <w:widowControl/>
              <w:ind w:left="0" w:leftChars="0" w:right="0" w:rightChars="0"/>
              <w:textAlignment w:val="center"/>
            </w:pPr>
            <w:r>
              <w:t>禁止在饮用水水源一级保护区内新建、改建、扩建与供水设施和保护水源无关的建设项目；已建成的与供水设施和保护水源无关的建设项目，由县级以上人民政府责令拆除或者关闭;从事网箱养殖、旅游、游泳、垂钓或者其他可能污染饮用水水体的行为。</w:t>
            </w:r>
          </w:p>
          <w:p>
            <w:pPr>
              <w:widowControl/>
              <w:ind w:left="0" w:leftChars="0" w:right="0" w:rightChars="0"/>
              <w:textAlignment w:val="center"/>
            </w:pPr>
            <w:r>
              <w:t>4.新建公路、铁路、桥梁、输油输气管线等基础设施，不得穿越饮用水水源一级保护区;因工程条件和自然因素限制，确需穿越饮用水水源二级保护区或者准保护区的，应当就项目实施对饮用水水源保护区环境影响进行专题评价。</w:t>
            </w:r>
          </w:p>
          <w:p>
            <w:pPr>
              <w:widowControl/>
              <w:ind w:left="0" w:leftChars="0" w:right="0" w:rightChars="0"/>
              <w:textAlignment w:val="center"/>
            </w:pPr>
            <w:r>
              <w:t>5. 在饮用水水源一级保护区内已建成的与供水设施和保护水源无关的建设项目，由旗县级以上人民政府责令拆除或者关闭。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rFonts w:hint="eastAsia"/>
                <w:szCs w:val="21"/>
              </w:rPr>
              <w:t>ZH15072710006</w:t>
            </w:r>
          </w:p>
        </w:tc>
        <w:tc>
          <w:tcPr>
            <w:tcW w:w="1115" w:type="dxa"/>
            <w:vAlign w:val="center"/>
          </w:tcPr>
          <w:p>
            <w:pPr>
              <w:widowControl/>
              <w:ind w:left="0" w:leftChars="0" w:right="0" w:rightChars="0"/>
              <w:jc w:val="center"/>
              <w:rPr>
                <w:szCs w:val="21"/>
              </w:rPr>
            </w:pPr>
            <w:r>
              <w:rPr>
                <w:szCs w:val="21"/>
              </w:rPr>
              <w:t>内蒙古巴尔虎黄羊自治区级自然保护区</w:t>
            </w:r>
          </w:p>
        </w:tc>
        <w:tc>
          <w:tcPr>
            <w:tcW w:w="938" w:type="dxa"/>
            <w:vAlign w:val="center"/>
          </w:tcPr>
          <w:p>
            <w:pPr>
              <w:widowControl/>
              <w:ind w:left="0" w:leftChars="0" w:right="0" w:rightChars="0"/>
              <w:jc w:val="center"/>
              <w:rPr>
                <w:szCs w:val="21"/>
              </w:rPr>
            </w:pPr>
            <w:r>
              <w:rPr>
                <w:szCs w:val="21"/>
              </w:rPr>
              <w:t>优先保护单元</w:t>
            </w:r>
          </w:p>
        </w:tc>
        <w:tc>
          <w:tcPr>
            <w:tcW w:w="69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.在实验区从事科研、教学、采集标本、参观、旅游活动的单位或者个人，应当遵守自然保护区管理的有关规定。</w:t>
            </w:r>
          </w:p>
          <w:p>
            <w:pPr>
              <w:widowControl/>
              <w:ind w:left="0" w:leftChars="0" w:right="0" w:rightChars="0"/>
              <w:textAlignment w:val="center"/>
            </w:pPr>
            <w:r>
              <w:rPr>
                <w:rFonts w:hint="eastAsia"/>
              </w:rPr>
              <w:t>7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8.在生态保护红线内的有限人为活动管理要求按照《自然资源部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rFonts w:hint="eastAsia"/>
                <w:szCs w:val="21"/>
              </w:rPr>
              <w:t>ZH15072710007</w:t>
            </w:r>
          </w:p>
        </w:tc>
        <w:tc>
          <w:tcPr>
            <w:tcW w:w="1115" w:type="dxa"/>
            <w:vAlign w:val="center"/>
          </w:tcPr>
          <w:p>
            <w:pPr>
              <w:widowControl/>
              <w:ind w:left="0" w:leftChars="0" w:right="0" w:rightChars="0"/>
              <w:jc w:val="center"/>
              <w:rPr>
                <w:szCs w:val="21"/>
              </w:rPr>
            </w:pPr>
            <w:r>
              <w:rPr>
                <w:rFonts w:hint="eastAsia"/>
                <w:szCs w:val="21"/>
              </w:rPr>
              <w:t>内蒙古呼伦-贝尔湖自治区地质公园</w:t>
            </w:r>
          </w:p>
        </w:tc>
        <w:tc>
          <w:tcPr>
            <w:tcW w:w="938" w:type="dxa"/>
            <w:vAlign w:val="center"/>
          </w:tcPr>
          <w:p>
            <w:pPr>
              <w:widowControl/>
              <w:ind w:left="0" w:leftChars="0" w:right="0" w:rightChars="0"/>
              <w:jc w:val="center"/>
              <w:rPr>
                <w:szCs w:val="21"/>
              </w:rPr>
            </w:pPr>
            <w:r>
              <w:rPr>
                <w:szCs w:val="21"/>
              </w:rPr>
              <w:t>优先保护单元</w:t>
            </w:r>
          </w:p>
        </w:tc>
        <w:tc>
          <w:tcPr>
            <w:tcW w:w="693"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1.任何单位和个人不得在其内及可能对地质遗迹造成影响的一定范围内进行采石、取土、开矿、放牧、砍伐以及其它对保护对象有损害的活动。未经管理机构批准，不得在保护区范围内采集标本和化石；</w:t>
            </w:r>
          </w:p>
          <w:p>
            <w:pPr>
              <w:pStyle w:val="2"/>
              <w:ind w:left="0" w:leftChars="0" w:firstLine="0"/>
            </w:pPr>
            <w:r>
              <w:t>2.不得在其内修建与地质遗迹保护无关的厂房或其他建筑设施；对已建成并可能对地质遗迹造成污染或破坏的设施，应限期治理或停业外迁；</w:t>
            </w:r>
          </w:p>
          <w:p>
            <w:pPr>
              <w:pStyle w:val="2"/>
              <w:ind w:left="0" w:leftChars="0" w:firstLine="0"/>
            </w:pPr>
            <w:r>
              <w:t>3.地质遗迹可分别实施一级保护、二级保护和三级保护：一级保护:对国际或国内具有极为罕见和重要科学价值的地质遗迹实施一级保护，非经批准不得入内。经设立该级地质遗迹保护区的人民政府地质矿产行政主管部门批准，可组织进行参观、科研或国际间交往；二级保护:对大区域范围内具有重要科学价值的地质遗迹实施二级保护。经设立该级地质遗迹保护区的人民政府地质矿产行政主管部门批准，可有组织地进行科研、教学、学术交流及适当的旅游活动；三级保护:对具一定价值的地质遗迹实施三级保护。经设立该级地质遗迹保护区的人民政府地质矿产行政主管部门批准，可组织开展旅游活动。</w:t>
            </w:r>
          </w:p>
          <w:p>
            <w:pPr>
              <w:widowControl/>
              <w:ind w:left="0" w:leftChars="0" w:right="0" w:rightChars="0"/>
              <w:textAlignment w:val="center"/>
            </w:pPr>
            <w:r>
              <w:rPr>
                <w:rFonts w:hint="eastAsia"/>
              </w:rPr>
              <w:t>4.</w:t>
            </w:r>
            <w:r>
              <w:t>生态保护红线内</w:t>
            </w:r>
            <w:r>
              <w:rPr>
                <w:rFonts w:hint="eastAsia"/>
              </w:rPr>
              <w:t>允许有限人为活动应属于《自然资源部 生态环境部 国家林业和草原局关于加强生态保护红线管理的通知（试行）》（自然资发〔2022〕142号）文件规定的类型。生态保护红线内自然保护区、风景名胜区、饮用水水源保护区等区域，依照法律法规执行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restart"/>
            <w:vAlign w:val="center"/>
          </w:tcPr>
          <w:p>
            <w:pPr>
              <w:widowControl/>
              <w:ind w:left="0" w:leftChars="0" w:right="0" w:rightChars="0"/>
              <w:jc w:val="center"/>
              <w:rPr>
                <w:szCs w:val="21"/>
              </w:rPr>
            </w:pPr>
            <w:r>
              <w:rPr>
                <w:szCs w:val="21"/>
              </w:rPr>
              <w:t>ZH15072720001</w:t>
            </w:r>
          </w:p>
        </w:tc>
        <w:tc>
          <w:tcPr>
            <w:tcW w:w="1115" w:type="dxa"/>
            <w:vMerge w:val="restart"/>
            <w:vAlign w:val="center"/>
          </w:tcPr>
          <w:p>
            <w:pPr>
              <w:widowControl/>
              <w:ind w:left="0" w:leftChars="0" w:right="0" w:rightChars="0"/>
              <w:jc w:val="center"/>
              <w:rPr>
                <w:szCs w:val="21"/>
              </w:rPr>
            </w:pPr>
            <w:r>
              <w:rPr>
                <w:szCs w:val="21"/>
              </w:rPr>
              <w:t>呼伦湖呼伦贝尔市甘珠花控制单元</w:t>
            </w:r>
          </w:p>
        </w:tc>
        <w:tc>
          <w:tcPr>
            <w:tcW w:w="938" w:type="dxa"/>
            <w:vMerge w:val="restart"/>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1.针对克鲁伦河中下游、乌尔逊河中下游、呼伦湖东岸等区域，采用封禁恢复、补播改良、工程治理及风滚草拦截资源化利用等修复手段，有效遏制草原荒漠化扩展和生物多样性丧失，减轻干草入水风险。</w:t>
            </w:r>
          </w:p>
          <w:p>
            <w:pPr>
              <w:widowControl/>
              <w:ind w:left="0" w:leftChars="0" w:right="0" w:rightChars="0"/>
              <w:textAlignment w:val="center"/>
            </w:pPr>
            <w:r>
              <w:t>2.从湖泊陆域到水域，划定缓冲防护隔离空间，对嘎拉达白辛、呼伦沟等重点区域进行保护修复。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tcPr>
          <w:p>
            <w:pPr>
              <w:widowControl/>
              <w:ind w:left="0" w:leftChars="0" w:right="0" w:rightChars="0"/>
              <w:textAlignment w:val="center"/>
            </w:pPr>
            <w:r>
              <w:rPr>
                <w:rFonts w:hint="eastAsia"/>
              </w:rPr>
              <w:t>1.持续推进化肥农药减量增效，到2025年，实现全区主要农作物化肥、化学农药使用强度降低。提升秸秆综合利用率和农膜回收水平，到 2025 年，全区秸秆综合利用率达到 90%以上，废旧农膜回收率达到 85%。</w:t>
            </w:r>
          </w:p>
          <w:p>
            <w:pPr>
              <w:widowControl/>
              <w:ind w:left="0" w:leftChars="0" w:right="0" w:rightChars="0"/>
              <w:textAlignment w:val="center"/>
            </w:pPr>
            <w:r>
              <w:rPr>
                <w:rFonts w:hint="eastAsia"/>
              </w:rPr>
              <w:t>2.</w:t>
            </w:r>
            <w:r>
              <w:t>加强畜禽养殖污染防治</w:t>
            </w:r>
            <w:r>
              <w:rPr>
                <w:rFonts w:hint="eastAsia"/>
              </w:rPr>
              <w:t>，到2025年，规模养殖场粪污处理设施装备配套率达到95%以上，畜禽粪污综合利用率达到 90%以上</w:t>
            </w:r>
            <w:r>
              <w:t>。</w:t>
            </w:r>
          </w:p>
          <w:p>
            <w:pPr>
              <w:widowControl/>
              <w:ind w:left="0" w:leftChars="0" w:right="0" w:rightChars="0"/>
              <w:textAlignment w:val="center"/>
            </w:pPr>
            <w:r>
              <w:rPr>
                <w:rFonts w:hint="eastAsia"/>
              </w:rPr>
              <w:t>3.</w:t>
            </w:r>
            <w:r>
              <w:t>加强畜禽养殖污染环境监管</w:t>
            </w:r>
            <w:r>
              <w:rPr>
                <w:rFonts w:hint="eastAsia"/>
              </w:rPr>
              <w:t>，</w:t>
            </w:r>
            <w:r>
              <w:t>落实畜禽规模养殖场环境影响评价及排污许可制度</w:t>
            </w:r>
            <w:r>
              <w:rPr>
                <w:rFonts w:hint="eastAsia"/>
              </w:rPr>
              <w:t>。</w:t>
            </w:r>
          </w:p>
          <w:p>
            <w:pPr>
              <w:widowControl/>
              <w:ind w:left="0" w:leftChars="0" w:right="0" w:rightChars="0"/>
              <w:textAlignment w:val="center"/>
            </w:pPr>
            <w:r>
              <w:rPr>
                <w:rFonts w:hint="eastAsia"/>
              </w:rPr>
              <w:t>4.</w:t>
            </w:r>
            <w:r>
              <w:t>到2025 年，全市农村牧区生活污水治理率达到</w:t>
            </w:r>
            <w:r>
              <w:rPr>
                <w:rFonts w:hint="eastAsia"/>
              </w:rPr>
              <w:t>30%，呼伦湖周边农村牧区生活污水治理率达到60%，农村牧区黑臭水体整治率达到100%</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restart"/>
            <w:vAlign w:val="center"/>
          </w:tcPr>
          <w:p>
            <w:pPr>
              <w:widowControl/>
              <w:ind w:left="0" w:leftChars="0" w:right="0" w:rightChars="0"/>
              <w:jc w:val="center"/>
              <w:rPr>
                <w:szCs w:val="21"/>
              </w:rPr>
            </w:pPr>
            <w:r>
              <w:rPr>
                <w:szCs w:val="21"/>
              </w:rPr>
              <w:t>ZH15072720002</w:t>
            </w:r>
          </w:p>
        </w:tc>
        <w:tc>
          <w:tcPr>
            <w:tcW w:w="1115" w:type="dxa"/>
            <w:vMerge w:val="restart"/>
            <w:vAlign w:val="center"/>
          </w:tcPr>
          <w:p>
            <w:pPr>
              <w:widowControl/>
              <w:ind w:left="0" w:leftChars="0" w:right="0" w:rightChars="0"/>
              <w:jc w:val="center"/>
              <w:rPr>
                <w:szCs w:val="21"/>
              </w:rPr>
            </w:pPr>
            <w:r>
              <w:rPr>
                <w:szCs w:val="21"/>
              </w:rPr>
              <w:t>呼伦湖呼伦贝尔市小河口控制单元</w:t>
            </w:r>
          </w:p>
        </w:tc>
        <w:tc>
          <w:tcPr>
            <w:tcW w:w="938" w:type="dxa"/>
            <w:vMerge w:val="restart"/>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1.落实国家自然保护区内的全面禁牧和禁牧补贴，推动呼伦湖自然保护核心区牧民转产。</w:t>
            </w:r>
          </w:p>
          <w:p>
            <w:pPr>
              <w:widowControl/>
              <w:ind w:left="0" w:leftChars="0" w:right="0" w:rightChars="0"/>
              <w:textAlignment w:val="center"/>
            </w:pPr>
            <w:r>
              <w:t>2.针对克鲁伦河中下游、乌尔逊河中下游、呼伦湖东岸等区域，采用封禁恢复、补播改良、工程治理及风滚草拦截资源化利用等修复手段，有效遏制草原荒漠化扩展和生物多样性丧失，减轻干草入水风险。</w:t>
            </w:r>
          </w:p>
          <w:p>
            <w:pPr>
              <w:widowControl/>
              <w:ind w:left="0" w:leftChars="0" w:right="0" w:rightChars="0"/>
              <w:textAlignment w:val="center"/>
            </w:pPr>
            <w:r>
              <w:t>3.从湖泊陆域到水域，划定缓冲防护隔离空间，对嘎拉达白辛、呼伦沟等重点区域进行保护修复。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tcPr>
          <w:p>
            <w:pPr>
              <w:widowControl/>
              <w:ind w:left="0" w:leftChars="0" w:right="0" w:rightChars="0"/>
              <w:textAlignment w:val="center"/>
            </w:pPr>
            <w:r>
              <w:rPr>
                <w:rFonts w:hint="eastAsia"/>
              </w:rPr>
              <w:t>1.持续推进化肥农药减量增效，到2025年，实现全区主要农作物化肥、化学农药使用强度降低。提升秸秆综合利用率和农膜回收水平，到 2025 年，全区秸秆综合利用率达到 90%以上，废旧农膜回收率达到 85%。</w:t>
            </w:r>
          </w:p>
          <w:p>
            <w:pPr>
              <w:widowControl/>
              <w:ind w:left="0" w:leftChars="0" w:right="0" w:rightChars="0"/>
              <w:textAlignment w:val="center"/>
            </w:pPr>
            <w:r>
              <w:rPr>
                <w:rFonts w:hint="eastAsia"/>
              </w:rPr>
              <w:t>2.</w:t>
            </w:r>
            <w:r>
              <w:t>加强畜禽养殖污染防治</w:t>
            </w:r>
            <w:r>
              <w:rPr>
                <w:rFonts w:hint="eastAsia"/>
              </w:rPr>
              <w:t>，到2025年，规模养殖场粪污处理设施装备配套率达到95%以上，畜禽粪污综合利用率达到 90%以上</w:t>
            </w:r>
            <w:r>
              <w:t>。</w:t>
            </w:r>
          </w:p>
          <w:p>
            <w:pPr>
              <w:widowControl/>
              <w:ind w:left="0" w:leftChars="0" w:right="0" w:rightChars="0"/>
              <w:textAlignment w:val="center"/>
            </w:pPr>
            <w:r>
              <w:rPr>
                <w:rFonts w:hint="eastAsia"/>
              </w:rPr>
              <w:t>3.</w:t>
            </w:r>
            <w:r>
              <w:t>加强畜禽养殖污染环境监管</w:t>
            </w:r>
            <w:r>
              <w:rPr>
                <w:rFonts w:hint="eastAsia"/>
              </w:rPr>
              <w:t>，</w:t>
            </w:r>
            <w:r>
              <w:t>落实畜禽规模养殖场环境影响评价及排污许可制度</w:t>
            </w:r>
            <w:r>
              <w:rPr>
                <w:rFonts w:hint="eastAsia"/>
              </w:rPr>
              <w:t>。</w:t>
            </w:r>
          </w:p>
          <w:p>
            <w:pPr>
              <w:widowControl/>
              <w:ind w:left="0" w:leftChars="0" w:right="0" w:rightChars="0"/>
              <w:textAlignment w:val="center"/>
            </w:pPr>
            <w:r>
              <w:rPr>
                <w:rFonts w:hint="eastAsia"/>
              </w:rPr>
              <w:t>4.</w:t>
            </w:r>
            <w:r>
              <w:t>到2025 年，全市农村牧区生活污水治理率达到</w:t>
            </w:r>
            <w:r>
              <w:rPr>
                <w:rFonts w:hint="eastAsia"/>
              </w:rPr>
              <w:t>30%，呼伦湖周边农村牧区生活污水治理率达到60%，农村牧区黑臭水体整治率达到100%</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restart"/>
            <w:vAlign w:val="center"/>
          </w:tcPr>
          <w:p>
            <w:pPr>
              <w:widowControl/>
              <w:ind w:left="0" w:leftChars="0" w:right="0" w:rightChars="0"/>
              <w:jc w:val="center"/>
              <w:rPr>
                <w:szCs w:val="21"/>
              </w:rPr>
            </w:pPr>
            <w:r>
              <w:rPr>
                <w:szCs w:val="21"/>
              </w:rPr>
              <w:t>ZH15072720003</w:t>
            </w:r>
          </w:p>
        </w:tc>
        <w:tc>
          <w:tcPr>
            <w:tcW w:w="1115" w:type="dxa"/>
            <w:vMerge w:val="restart"/>
            <w:vAlign w:val="center"/>
          </w:tcPr>
          <w:p>
            <w:pPr>
              <w:widowControl/>
              <w:ind w:left="0" w:leftChars="0" w:right="0" w:rightChars="0"/>
              <w:jc w:val="center"/>
              <w:rPr>
                <w:szCs w:val="21"/>
              </w:rPr>
            </w:pPr>
            <w:r>
              <w:rPr>
                <w:rFonts w:hint="eastAsia"/>
                <w:szCs w:val="21"/>
              </w:rPr>
              <w:t>克鲁伦河呼伦贝尔市阿拉坦控制单元</w:t>
            </w:r>
          </w:p>
        </w:tc>
        <w:tc>
          <w:tcPr>
            <w:tcW w:w="938" w:type="dxa"/>
            <w:vMerge w:val="restart"/>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1.落实国家自然保护区内的全面禁牧和禁牧补贴，推动呼伦湖自然保护核心区牧民转产。</w:t>
            </w:r>
          </w:p>
          <w:p>
            <w:pPr>
              <w:widowControl/>
              <w:ind w:left="0" w:leftChars="0" w:right="0" w:rightChars="0"/>
              <w:textAlignment w:val="center"/>
            </w:pPr>
            <w:r>
              <w:t>2.针对克鲁伦河中下游、乌尔逊河中下游、呼伦湖东岸等区域，采用封禁恢复、补播改良、工程治理及风滚草拦截资源化利用等修复手段，有效遏制草原荒漠化扩展和生物多样性丧失，减轻干草入水风险。</w:t>
            </w:r>
          </w:p>
          <w:p>
            <w:pPr>
              <w:widowControl/>
              <w:ind w:left="0" w:leftChars="0" w:right="0" w:rightChars="0"/>
              <w:textAlignment w:val="center"/>
            </w:pPr>
            <w:r>
              <w:t>3.从湖泊陆域到水域，划定缓冲防护隔离空间，对嘎拉达白辛、呼伦沟等重点区域进行保护修复。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rPr>
                <w:rFonts w:hint="eastAsia"/>
              </w:rPr>
              <w:t>1.持续推进化肥农药减量增效，到2025年，实现全区主要农作物化肥、化学农药使用强度降低。提升秸秆综合利用率和农膜回收水平，到 2025 年，全区秸秆综合利用率达到 90%以上，废旧农膜回收率达到 85%。</w:t>
            </w:r>
          </w:p>
          <w:p>
            <w:pPr>
              <w:widowControl/>
              <w:ind w:left="0" w:leftChars="0" w:right="0" w:rightChars="0"/>
              <w:textAlignment w:val="center"/>
            </w:pPr>
            <w:r>
              <w:rPr>
                <w:rFonts w:hint="eastAsia"/>
              </w:rPr>
              <w:t>2.</w:t>
            </w:r>
            <w:r>
              <w:t>加强畜禽养殖污染防治</w:t>
            </w:r>
            <w:r>
              <w:rPr>
                <w:rFonts w:hint="eastAsia"/>
              </w:rPr>
              <w:t>，到2025年，规模养殖场粪污处理设施装备配套率达到95%以上，畜禽粪污综合利用率达到 90%以上</w:t>
            </w:r>
            <w:r>
              <w:t>。</w:t>
            </w:r>
          </w:p>
          <w:p>
            <w:pPr>
              <w:widowControl/>
              <w:ind w:left="0" w:leftChars="0" w:right="0" w:rightChars="0"/>
              <w:textAlignment w:val="center"/>
            </w:pPr>
            <w:r>
              <w:rPr>
                <w:rFonts w:hint="eastAsia"/>
              </w:rPr>
              <w:t>3.</w:t>
            </w:r>
            <w:r>
              <w:t>加强畜禽养殖污染环境监管</w:t>
            </w:r>
            <w:r>
              <w:rPr>
                <w:rFonts w:hint="eastAsia"/>
              </w:rPr>
              <w:t>，</w:t>
            </w:r>
            <w:r>
              <w:t>落实畜禽规模养殖场环境影响评价及排污许可制度</w:t>
            </w:r>
            <w:r>
              <w:rPr>
                <w:rFonts w:hint="eastAsia"/>
              </w:rPr>
              <w:t>。</w:t>
            </w:r>
          </w:p>
          <w:p>
            <w:pPr>
              <w:widowControl/>
              <w:ind w:left="0" w:leftChars="0" w:right="0" w:rightChars="0"/>
              <w:textAlignment w:val="center"/>
            </w:pPr>
            <w:r>
              <w:rPr>
                <w:rFonts w:hint="eastAsia"/>
              </w:rPr>
              <w:t>4.</w:t>
            </w:r>
            <w:r>
              <w:t>到2025 年，全市农村牧区生活污水治理率达到</w:t>
            </w:r>
            <w:r>
              <w:rPr>
                <w:rFonts w:hint="eastAsia"/>
              </w:rPr>
              <w:t>30%，呼伦湖周边农村牧区生活污水治理率达到60%，农村牧区黑臭水体整治率达到100%</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restart"/>
            <w:vAlign w:val="center"/>
          </w:tcPr>
          <w:p>
            <w:pPr>
              <w:widowControl/>
              <w:ind w:left="0" w:leftChars="0" w:right="0" w:rightChars="0"/>
              <w:jc w:val="center"/>
              <w:rPr>
                <w:szCs w:val="21"/>
              </w:rPr>
            </w:pPr>
            <w:r>
              <w:rPr>
                <w:kern w:val="0"/>
                <w:szCs w:val="21"/>
                <w:lang w:bidi="ar"/>
              </w:rPr>
              <w:t>ZH15072720004</w:t>
            </w:r>
          </w:p>
        </w:tc>
        <w:tc>
          <w:tcPr>
            <w:tcW w:w="1115" w:type="dxa"/>
            <w:vMerge w:val="restart"/>
            <w:vAlign w:val="center"/>
          </w:tcPr>
          <w:p>
            <w:pPr>
              <w:widowControl/>
              <w:ind w:left="0" w:leftChars="0" w:right="0" w:rightChars="0"/>
              <w:jc w:val="center"/>
              <w:rPr>
                <w:szCs w:val="21"/>
              </w:rPr>
            </w:pPr>
            <w:r>
              <w:rPr>
                <w:kern w:val="0"/>
                <w:szCs w:val="21"/>
                <w:lang w:bidi="ar"/>
              </w:rPr>
              <w:t>新巴尔虎右旗城镇空间</w:t>
            </w:r>
          </w:p>
        </w:tc>
        <w:tc>
          <w:tcPr>
            <w:tcW w:w="938" w:type="dxa"/>
            <w:vMerge w:val="restart"/>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1.扩大城镇集中供热覆盖范围，加大燃煤小锅炉淘汰力度，鼓励采取太阳能、风能多能互补清洁取暖，旗市区城市建成区原则上不再新建35t/h</w:t>
            </w:r>
            <w:r>
              <w:rPr>
                <w:rFonts w:hint="eastAsia"/>
              </w:rPr>
              <w:t>及</w:t>
            </w:r>
            <w:r>
              <w:t>以下燃煤锅炉。</w:t>
            </w:r>
          </w:p>
          <w:p>
            <w:pPr>
              <w:pStyle w:val="2"/>
              <w:widowControl/>
              <w:ind w:left="0" w:leftChars="0" w:right="0" w:rightChars="0" w:firstLine="0"/>
              <w:textAlignment w:val="center"/>
            </w:pPr>
            <w: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1.提升城镇生活污水收集管网覆盖率，逐步实施雨污管网分流改造、管网更新、破损修复、中水回用等工程。</w:t>
            </w:r>
          </w:p>
          <w:p>
            <w:pPr>
              <w:pStyle w:val="2"/>
              <w:widowControl/>
              <w:ind w:left="0" w:leftChars="0" w:right="0" w:rightChars="0" w:firstLine="0"/>
              <w:textAlignment w:val="center"/>
            </w:pPr>
            <w: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rPr>
                <w:rFonts w:hint="eastAsia"/>
              </w:rPr>
              <w:t>1</w:t>
            </w:r>
            <w:r>
              <w:t>.在高污染燃料禁燃区内，禁止销售和燃用高污染燃料；禁止新建、改建、扩建任何燃用高污染燃料的项目和设备；</w:t>
            </w:r>
          </w:p>
          <w:p>
            <w:pPr>
              <w:widowControl/>
              <w:ind w:left="0" w:leftChars="0" w:right="0" w:rightChars="0"/>
              <w:textAlignment w:val="center"/>
            </w:pPr>
            <w:r>
              <w:t>已建成使用的高污染燃料燃用设施，应当拆除或改用清洁能源。</w:t>
            </w:r>
          </w:p>
          <w:p>
            <w:pPr>
              <w:pStyle w:val="2"/>
              <w:widowControl/>
              <w:ind w:left="0" w:leftChars="0" w:right="0" w:rightChars="0" w:firstLine="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restart"/>
            <w:vAlign w:val="center"/>
          </w:tcPr>
          <w:p>
            <w:pPr>
              <w:widowControl/>
              <w:ind w:left="0" w:leftChars="0" w:right="0" w:rightChars="0"/>
              <w:jc w:val="center"/>
              <w:rPr>
                <w:szCs w:val="21"/>
              </w:rPr>
            </w:pPr>
            <w:r>
              <w:rPr>
                <w:rFonts w:hint="eastAsia"/>
                <w:szCs w:val="21"/>
              </w:rPr>
              <w:t>ZH15072720005</w:t>
            </w:r>
          </w:p>
        </w:tc>
        <w:tc>
          <w:tcPr>
            <w:tcW w:w="1115" w:type="dxa"/>
            <w:vMerge w:val="restart"/>
            <w:vAlign w:val="center"/>
          </w:tcPr>
          <w:p>
            <w:pPr>
              <w:widowControl/>
              <w:ind w:left="0" w:leftChars="0" w:right="0" w:rightChars="0"/>
              <w:jc w:val="center"/>
              <w:rPr>
                <w:szCs w:val="21"/>
              </w:rPr>
            </w:pPr>
            <w:r>
              <w:rPr>
                <w:szCs w:val="21"/>
              </w:rPr>
              <w:t>新巴尔虎右旗非金属矿</w:t>
            </w:r>
          </w:p>
        </w:tc>
        <w:tc>
          <w:tcPr>
            <w:tcW w:w="938" w:type="dxa"/>
            <w:vMerge w:val="restart"/>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widowControl/>
              <w:ind w:left="0" w:leftChars="0" w:right="0" w:rightChars="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restart"/>
            <w:vAlign w:val="center"/>
          </w:tcPr>
          <w:p>
            <w:pPr>
              <w:widowControl/>
              <w:ind w:left="0" w:leftChars="0" w:right="0" w:rightChars="0"/>
              <w:jc w:val="center"/>
              <w:rPr>
                <w:rFonts w:eastAsia="宋体"/>
                <w:kern w:val="0"/>
                <w:szCs w:val="21"/>
                <w:lang w:bidi="ar"/>
              </w:rPr>
            </w:pPr>
            <w:r>
              <w:rPr>
                <w:szCs w:val="21"/>
              </w:rPr>
              <w:t>ZH15072720006</w:t>
            </w:r>
          </w:p>
        </w:tc>
        <w:tc>
          <w:tcPr>
            <w:tcW w:w="1115" w:type="dxa"/>
            <w:vMerge w:val="restart"/>
            <w:vAlign w:val="center"/>
          </w:tcPr>
          <w:p>
            <w:pPr>
              <w:widowControl/>
              <w:ind w:left="0" w:leftChars="0" w:right="0" w:rightChars="0"/>
              <w:jc w:val="center"/>
              <w:rPr>
                <w:szCs w:val="21"/>
              </w:rPr>
            </w:pPr>
            <w:r>
              <w:rPr>
                <w:szCs w:val="21"/>
              </w:rPr>
              <w:t>新巴尔虎右旗金属矿</w:t>
            </w:r>
          </w:p>
        </w:tc>
        <w:tc>
          <w:tcPr>
            <w:tcW w:w="938" w:type="dxa"/>
            <w:vMerge w:val="restart"/>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restart"/>
            <w:vAlign w:val="center"/>
          </w:tcPr>
          <w:p>
            <w:pPr>
              <w:widowControl/>
              <w:ind w:left="0" w:leftChars="0" w:right="0" w:rightChars="0"/>
              <w:jc w:val="center"/>
              <w:rPr>
                <w:szCs w:val="21"/>
              </w:rPr>
            </w:pPr>
            <w:r>
              <w:rPr>
                <w:szCs w:val="21"/>
              </w:rPr>
              <w:t>ZH15072720007</w:t>
            </w:r>
          </w:p>
        </w:tc>
        <w:tc>
          <w:tcPr>
            <w:tcW w:w="1115" w:type="dxa"/>
            <w:vMerge w:val="restart"/>
            <w:vAlign w:val="center"/>
          </w:tcPr>
          <w:p>
            <w:pPr>
              <w:widowControl/>
              <w:ind w:left="0" w:leftChars="0" w:right="0" w:rightChars="0"/>
              <w:jc w:val="center"/>
              <w:rPr>
                <w:szCs w:val="21"/>
              </w:rPr>
            </w:pPr>
            <w:r>
              <w:rPr>
                <w:szCs w:val="21"/>
              </w:rPr>
              <w:t>新巴尔虎右旗煤矿</w:t>
            </w:r>
          </w:p>
        </w:tc>
        <w:tc>
          <w:tcPr>
            <w:tcW w:w="938" w:type="dxa"/>
            <w:vMerge w:val="restart"/>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空间布局约束</w:t>
            </w:r>
          </w:p>
        </w:tc>
        <w:tc>
          <w:tcPr>
            <w:tcW w:w="5663"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污染物排放管控</w:t>
            </w:r>
          </w:p>
        </w:tc>
        <w:tc>
          <w:tcPr>
            <w:tcW w:w="5663"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szCs w:val="21"/>
              </w:rPr>
              <w:t>环境风险防控</w:t>
            </w:r>
          </w:p>
        </w:tc>
        <w:tc>
          <w:tcPr>
            <w:tcW w:w="5663"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Merge w:val="continue"/>
            <w:vAlign w:val="center"/>
          </w:tcPr>
          <w:p>
            <w:pPr>
              <w:widowControl/>
              <w:ind w:left="0" w:leftChars="0" w:right="0" w:rightChars="0"/>
              <w:jc w:val="center"/>
              <w:rPr>
                <w:szCs w:val="21"/>
              </w:rPr>
            </w:pPr>
          </w:p>
        </w:tc>
        <w:tc>
          <w:tcPr>
            <w:tcW w:w="1115" w:type="dxa"/>
            <w:vMerge w:val="continue"/>
            <w:vAlign w:val="center"/>
          </w:tcPr>
          <w:p>
            <w:pPr>
              <w:widowControl/>
              <w:ind w:left="0" w:leftChars="0" w:right="0" w:rightChars="0"/>
              <w:jc w:val="center"/>
              <w:rPr>
                <w:szCs w:val="21"/>
              </w:rPr>
            </w:pPr>
          </w:p>
        </w:tc>
        <w:tc>
          <w:tcPr>
            <w:tcW w:w="938" w:type="dxa"/>
            <w:vMerge w:val="continue"/>
            <w:vAlign w:val="center"/>
          </w:tcPr>
          <w:p>
            <w:pPr>
              <w:widowControl/>
              <w:ind w:left="0" w:leftChars="0" w:right="0" w:rightChars="0"/>
              <w:jc w:val="center"/>
              <w:rPr>
                <w:szCs w:val="21"/>
              </w:rPr>
            </w:pPr>
          </w:p>
        </w:tc>
        <w:tc>
          <w:tcPr>
            <w:tcW w:w="69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85" w:type="dxa"/>
            <w:vAlign w:val="center"/>
          </w:tcPr>
          <w:p>
            <w:pPr>
              <w:widowControl/>
              <w:ind w:left="0" w:leftChars="0" w:right="0" w:rightChars="0"/>
              <w:jc w:val="center"/>
              <w:rPr>
                <w:szCs w:val="21"/>
              </w:rPr>
            </w:pPr>
            <w:r>
              <w:rPr>
                <w:szCs w:val="21"/>
              </w:rPr>
              <w:t>ZH15072720008</w:t>
            </w:r>
          </w:p>
        </w:tc>
        <w:tc>
          <w:tcPr>
            <w:tcW w:w="1115" w:type="dxa"/>
            <w:vAlign w:val="center"/>
          </w:tcPr>
          <w:p>
            <w:pPr>
              <w:widowControl/>
              <w:ind w:left="0" w:leftChars="0" w:right="0" w:rightChars="0"/>
              <w:jc w:val="center"/>
              <w:rPr>
                <w:szCs w:val="21"/>
              </w:rPr>
            </w:pPr>
            <w:r>
              <w:rPr>
                <w:szCs w:val="21"/>
              </w:rPr>
              <w:t>新巴尔虎右旗生态用水补给区</w:t>
            </w:r>
          </w:p>
        </w:tc>
        <w:tc>
          <w:tcPr>
            <w:tcW w:w="938" w:type="dxa"/>
            <w:vAlign w:val="center"/>
          </w:tcPr>
          <w:p>
            <w:pPr>
              <w:widowControl/>
              <w:ind w:left="0" w:leftChars="0" w:right="0" w:rightChars="0"/>
              <w:jc w:val="center"/>
              <w:rPr>
                <w:szCs w:val="21"/>
              </w:rPr>
            </w:pPr>
            <w:r>
              <w:rPr>
                <w:szCs w:val="21"/>
              </w:rPr>
              <w:t>重点管控单元</w:t>
            </w:r>
          </w:p>
        </w:tc>
        <w:tc>
          <w:tcPr>
            <w:tcW w:w="693"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663" w:type="dxa"/>
            <w:vAlign w:val="center"/>
          </w:tcPr>
          <w:p>
            <w:pPr>
              <w:widowControl/>
              <w:ind w:left="0" w:leftChars="0" w:right="0" w:rightChars="0"/>
              <w:textAlignment w:val="center"/>
            </w:pPr>
            <w:r>
              <w:t>1.实施生态流量保障考核评估，强化生态流量管控，落实河湖生态水量（流量）保障的目标要求。</w:t>
            </w:r>
          </w:p>
          <w:p>
            <w:pPr>
              <w:widowControl/>
              <w:ind w:left="0" w:leftChars="0" w:right="0" w:rightChars="0"/>
              <w:textAlignment w:val="center"/>
            </w:pPr>
            <w:r>
              <w:t>2.新增用水项目应满足国家相关节水要求。建立高耗水行业负面清单，同时结合呼伦贝尔市优势产业发展布局，限制高耗水项目入驻，加快发展新能源、新科技以及现代物流等新兴节水产业，建立节水产业体系。</w:t>
            </w:r>
          </w:p>
          <w:p>
            <w:pPr>
              <w:widowControl/>
              <w:ind w:left="0" w:leftChars="0" w:right="0" w:rightChars="0"/>
              <w:textAlignment w:val="center"/>
            </w:pPr>
            <w:r>
              <w:t>3.实行规划和建设项目节水评价，强化规划制定、建设项目立项、水资源论证中节水有关内容和要求；规范取水许可管理。</w:t>
            </w:r>
          </w:p>
          <w:p>
            <w:pPr>
              <w:widowControl/>
              <w:ind w:left="0" w:leftChars="0" w:right="0" w:rightChars="0"/>
              <w:textAlignment w:val="center"/>
            </w:pPr>
            <w:r>
              <w:t>4.优化呼伦湖调配流域水资源。科学优化现行生态调水方案，增强流域生态补水、调水及流域水源的涵养能力，保持呼伦湖多年平均湖面水位在542.5米（对应湖面面积2006.5平方公里）以上。</w:t>
            </w:r>
          </w:p>
        </w:tc>
      </w:tr>
    </w:tbl>
    <w:p>
      <w:pPr>
        <w:pStyle w:val="2"/>
        <w:sectPr>
          <w:pgSz w:w="16838" w:h="11906" w:orient="landscape"/>
          <w:pgMar w:top="1800" w:right="1440" w:bottom="1800" w:left="1440" w:header="851" w:footer="992" w:gutter="0"/>
          <w:cols w:space="425" w:num="1"/>
          <w:docGrid w:type="lines" w:linePitch="312" w:charSpace="0"/>
        </w:sectPr>
      </w:pPr>
    </w:p>
    <w:p>
      <w:pPr>
        <w:pStyle w:val="4"/>
        <w:ind w:left="0" w:leftChars="0" w:right="0" w:rightChars="0"/>
        <w:rPr>
          <w:rFonts w:ascii="Times New Roman" w:hAnsi="Times New Roman" w:eastAsia="仿宋_GB2312"/>
        </w:rPr>
      </w:pPr>
      <w:bookmarkStart w:id="55" w:name="_Toc142233290"/>
      <w:r>
        <w:rPr>
          <w:rFonts w:ascii="Times New Roman" w:hAnsi="Times New Roman" w:eastAsia="仿宋_GB2312"/>
        </w:rPr>
        <w:t>（十四）呼伦贝尔市扎赉诺尔区生态环境准入清单</w:t>
      </w:r>
      <w:bookmarkEnd w:id="55"/>
    </w:p>
    <w:p>
      <w:pPr>
        <w:adjustRightInd/>
        <w:snapToGrid/>
        <w:spacing w:line="500" w:lineRule="exact"/>
        <w:ind w:left="0" w:leftChars="0" w:right="0" w:rightChars="0"/>
        <w:jc w:val="center"/>
        <w:rPr>
          <w:b/>
          <w:bCs/>
          <w:sz w:val="28"/>
          <w:szCs w:val="28"/>
        </w:rPr>
      </w:pPr>
      <w:r>
        <w:rPr>
          <w:b/>
          <w:bCs/>
          <w:sz w:val="28"/>
          <w:szCs w:val="28"/>
        </w:rPr>
        <w:t>表14呼伦贝尔市扎赉诺尔区生态环境准入清单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648"/>
        <w:gridCol w:w="1423"/>
        <w:gridCol w:w="1017"/>
        <w:gridCol w:w="8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73" w:type="dxa"/>
            <w:vAlign w:val="center"/>
          </w:tcPr>
          <w:p>
            <w:pPr>
              <w:widowControl/>
              <w:ind w:left="0" w:leftChars="0" w:right="0" w:rightChars="0"/>
              <w:jc w:val="center"/>
              <w:rPr>
                <w:b/>
                <w:bCs/>
                <w:szCs w:val="21"/>
              </w:rPr>
            </w:pPr>
            <w:r>
              <w:rPr>
                <w:b/>
                <w:bCs/>
                <w:szCs w:val="21"/>
              </w:rPr>
              <w:t>环境管控单元编码</w:t>
            </w:r>
          </w:p>
        </w:tc>
        <w:tc>
          <w:tcPr>
            <w:tcW w:w="1108" w:type="dxa"/>
            <w:vAlign w:val="center"/>
          </w:tcPr>
          <w:p>
            <w:pPr>
              <w:widowControl/>
              <w:ind w:left="0" w:leftChars="0" w:right="0" w:rightChars="0"/>
              <w:jc w:val="center"/>
              <w:rPr>
                <w:b/>
                <w:bCs/>
                <w:szCs w:val="21"/>
              </w:rPr>
            </w:pPr>
            <w:r>
              <w:rPr>
                <w:b/>
                <w:bCs/>
                <w:szCs w:val="21"/>
              </w:rPr>
              <w:t>环境管控单元名称</w:t>
            </w:r>
          </w:p>
        </w:tc>
        <w:tc>
          <w:tcPr>
            <w:tcW w:w="957" w:type="dxa"/>
            <w:vAlign w:val="center"/>
          </w:tcPr>
          <w:p>
            <w:pPr>
              <w:widowControl/>
              <w:ind w:left="0" w:leftChars="0" w:right="0" w:rightChars="0"/>
              <w:jc w:val="center"/>
              <w:rPr>
                <w:b/>
                <w:bCs/>
                <w:szCs w:val="21"/>
              </w:rPr>
            </w:pPr>
            <w:r>
              <w:rPr>
                <w:b/>
                <w:bCs/>
                <w:szCs w:val="21"/>
              </w:rPr>
              <w:t>管控单元类别</w:t>
            </w:r>
          </w:p>
        </w:tc>
        <w:tc>
          <w:tcPr>
            <w:tcW w:w="6393" w:type="dxa"/>
            <w:gridSpan w:val="2"/>
            <w:vAlign w:val="center"/>
          </w:tcPr>
          <w:p>
            <w:pPr>
              <w:widowControl/>
              <w:ind w:left="0" w:leftChars="0" w:right="0" w:rightChars="0"/>
              <w:jc w:val="center"/>
              <w:rPr>
                <w:b/>
                <w:bCs/>
                <w:szCs w:val="21"/>
              </w:rPr>
            </w:pPr>
            <w:r>
              <w:rPr>
                <w:b/>
                <w:bCs/>
                <w:szCs w:val="21"/>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ZH15070310001</w:t>
            </w:r>
          </w:p>
        </w:tc>
        <w:tc>
          <w:tcPr>
            <w:tcW w:w="1108" w:type="dxa"/>
            <w:vAlign w:val="center"/>
          </w:tcPr>
          <w:p>
            <w:pPr>
              <w:widowControl/>
              <w:ind w:left="0" w:leftChars="0" w:right="0" w:rightChars="0"/>
              <w:jc w:val="center"/>
              <w:rPr>
                <w:szCs w:val="21"/>
              </w:rPr>
            </w:pPr>
            <w:r>
              <w:rPr>
                <w:szCs w:val="21"/>
              </w:rPr>
              <w:t>内蒙古呼伦湖国家级自然保护区</w:t>
            </w:r>
          </w:p>
        </w:tc>
        <w:tc>
          <w:tcPr>
            <w:tcW w:w="957" w:type="dxa"/>
            <w:vAlign w:val="center"/>
          </w:tcPr>
          <w:p>
            <w:pPr>
              <w:widowControl/>
              <w:ind w:left="0" w:leftChars="0" w:right="0" w:rightChars="0"/>
              <w:jc w:val="center"/>
              <w:rPr>
                <w:szCs w:val="21"/>
              </w:rPr>
            </w:pPr>
            <w:r>
              <w:rPr>
                <w:szCs w:val="21"/>
              </w:rPr>
              <w:t>优先保护单元</w:t>
            </w:r>
          </w:p>
        </w:tc>
        <w:tc>
          <w:tcPr>
            <w:tcW w:w="684" w:type="dxa"/>
            <w:vAlign w:val="center"/>
          </w:tcPr>
          <w:p>
            <w:pPr>
              <w:widowControl/>
              <w:ind w:left="0" w:leftChars="0" w:right="0" w:rightChars="0"/>
              <w:jc w:val="center"/>
              <w:textAlignment w:val="center"/>
              <w:rPr>
                <w:szCs w:val="21"/>
              </w:rPr>
            </w:pPr>
            <w:r>
              <w:rPr>
                <w:kern w:val="0"/>
                <w:szCs w:val="21"/>
                <w:lang w:bidi="ar"/>
              </w:rPr>
              <w:t>空间布局约束</w:t>
            </w:r>
          </w:p>
        </w:tc>
        <w:tc>
          <w:tcPr>
            <w:tcW w:w="5709" w:type="dxa"/>
            <w:vAlign w:val="center"/>
          </w:tcPr>
          <w:p>
            <w:pPr>
              <w:widowControl/>
              <w:ind w:left="0" w:leftChars="0" w:right="0" w:rightChars="0"/>
              <w:textAlignment w:val="center"/>
            </w:pPr>
            <w:r>
              <w:t>1.因科学研究的需要，必须进入核心区从事科学研究观测、调查活动的，应当事先向自然保护区管理机构提交申请和活动计划，并经自然保护区管理机构批准；其中，进入国家级自然保护区核心区的，应当经省、自治区、直辖市人民政府有关自然保护区行政主管部门批准。</w:t>
            </w:r>
          </w:p>
          <w:p>
            <w:pPr>
              <w:widowControl/>
              <w:ind w:left="0" w:leftChars="0" w:right="0" w:rightChars="0"/>
              <w:textAlignment w:val="center"/>
            </w:pPr>
            <w:r>
              <w:t>2.因教学科研的目的，需要进入自然保护区的缓冲区从事非破坏性的科学研究、教学实习和标本采集活动的，应当事先向自然保护区管理机构提交申请和活动计划，经自然保护区管理机构批准。</w:t>
            </w:r>
          </w:p>
          <w:p>
            <w:pPr>
              <w:widowControl/>
              <w:ind w:left="0" w:leftChars="0" w:right="0" w:rightChars="0"/>
              <w:textAlignment w:val="center"/>
            </w:pPr>
            <w:r>
              <w:rPr>
                <w:rFonts w:hint="eastAsia"/>
              </w:rPr>
              <w:t>3</w:t>
            </w:r>
            <w:r>
              <w:t>.任何单位和个人不得破坏或者擅自移动自然保护区界标。</w:t>
            </w:r>
          </w:p>
          <w:p>
            <w:pPr>
              <w:widowControl/>
              <w:ind w:left="0" w:leftChars="0" w:right="0" w:rightChars="0"/>
              <w:textAlignment w:val="center"/>
            </w:pPr>
            <w:r>
              <w:rPr>
                <w:rFonts w:hint="eastAsia"/>
              </w:rPr>
              <w:t>4</w:t>
            </w:r>
            <w:r>
              <w:t>.在自然保护区的外围保护地带的建设项目，不得损害自然保护区的环境质量。已造成损害的，应当限期治理。</w:t>
            </w:r>
          </w:p>
          <w:p>
            <w:pPr>
              <w:widowControl/>
              <w:ind w:left="0" w:leftChars="0" w:right="0" w:rightChars="0"/>
              <w:textAlignment w:val="center"/>
            </w:pPr>
            <w:r>
              <w:rPr>
                <w:rFonts w:hint="eastAsia"/>
              </w:rPr>
              <w:t>5</w:t>
            </w:r>
            <w:r>
              <w:t>.禁止向自然保护区内倾倒固体废弃物和排放污染废水。</w:t>
            </w:r>
          </w:p>
          <w:p>
            <w:pPr>
              <w:widowControl/>
              <w:ind w:left="0" w:leftChars="0" w:right="0" w:rightChars="0"/>
              <w:textAlignment w:val="center"/>
            </w:pPr>
            <w:r>
              <w:rPr>
                <w:rFonts w:hint="eastAsia"/>
              </w:rPr>
              <w:t>6</w:t>
            </w:r>
            <w:r>
              <w:t>.</w:t>
            </w:r>
            <w:r>
              <w:rPr>
                <w:rFonts w:hint="eastAsia"/>
              </w:rPr>
              <w:t>实验区可进入从事科学试验、教学实习、参观考察、旅游以及驯化、繁殖珍稀、濒危野生动植物等活动。在自然保护区的实验区内开展参观、旅游活动的，由自然保护区管理机构编制方案，方案应当符合自然保护区管理目标；</w:t>
            </w:r>
          </w:p>
          <w:p>
            <w:pPr>
              <w:widowControl/>
              <w:ind w:left="0" w:leftChars="0" w:right="0" w:rightChars="0"/>
              <w:textAlignment w:val="center"/>
            </w:pPr>
            <w:r>
              <w:rPr>
                <w:rFonts w:hint="eastAsia"/>
              </w:rPr>
              <w:t>7.在生态保护红线内的有限人为活动管理要求按照《自然资源部 生态环境部 国家林业和草原局关于加强生态保护红线管理的通知（试行）》（自然资发〔2022〕142号）相关规定执行。生态保护红线内自然保护区、风景名胜区、饮用水水源保护区等区域，依照法律法规执行</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pPr>
              <w:widowControl/>
              <w:ind w:left="0" w:leftChars="0" w:right="0" w:rightChars="0"/>
              <w:jc w:val="center"/>
              <w:rPr>
                <w:szCs w:val="21"/>
              </w:rPr>
            </w:pPr>
            <w:r>
              <w:rPr>
                <w:szCs w:val="21"/>
              </w:rPr>
              <w:t>ZH15070310002</w:t>
            </w:r>
          </w:p>
        </w:tc>
        <w:tc>
          <w:tcPr>
            <w:tcW w:w="1108" w:type="dxa"/>
            <w:vAlign w:val="center"/>
          </w:tcPr>
          <w:p>
            <w:pPr>
              <w:widowControl/>
              <w:ind w:left="0" w:leftChars="0" w:right="0" w:rightChars="0"/>
              <w:jc w:val="center"/>
              <w:rPr>
                <w:szCs w:val="21"/>
              </w:rPr>
            </w:pPr>
            <w:r>
              <w:rPr>
                <w:szCs w:val="21"/>
              </w:rPr>
              <w:t>扎赉诺尔区生物多样性维护生态功能重要区域</w:t>
            </w:r>
          </w:p>
        </w:tc>
        <w:tc>
          <w:tcPr>
            <w:tcW w:w="957" w:type="dxa"/>
            <w:vAlign w:val="center"/>
          </w:tcPr>
          <w:p>
            <w:pPr>
              <w:widowControl/>
              <w:ind w:left="0" w:leftChars="0" w:right="0" w:rightChars="0"/>
              <w:jc w:val="center"/>
              <w:rPr>
                <w:szCs w:val="21"/>
              </w:rPr>
            </w:pPr>
            <w:r>
              <w:rPr>
                <w:szCs w:val="21"/>
              </w:rPr>
              <w:t>优先保护单元</w:t>
            </w:r>
          </w:p>
        </w:tc>
        <w:tc>
          <w:tcPr>
            <w:tcW w:w="684" w:type="dxa"/>
            <w:vAlign w:val="center"/>
          </w:tcPr>
          <w:p>
            <w:pPr>
              <w:widowControl/>
              <w:ind w:left="0" w:leftChars="0" w:right="0" w:rightChars="0"/>
              <w:jc w:val="center"/>
              <w:textAlignment w:val="center"/>
              <w:rPr>
                <w:kern w:val="0"/>
                <w:szCs w:val="21"/>
                <w:lang w:bidi="ar"/>
              </w:rPr>
            </w:pPr>
            <w:r>
              <w:rPr>
                <w:kern w:val="0"/>
                <w:szCs w:val="21"/>
                <w:lang w:bidi="ar"/>
              </w:rPr>
              <w:t>空间布局约束</w:t>
            </w:r>
          </w:p>
        </w:tc>
        <w:tc>
          <w:tcPr>
            <w:tcW w:w="5709" w:type="dxa"/>
            <w:vAlign w:val="center"/>
          </w:tcPr>
          <w:p>
            <w:pPr>
              <w:widowControl/>
              <w:ind w:left="0" w:leftChars="0" w:right="0" w:rightChars="0"/>
              <w:textAlignment w:val="center"/>
            </w:pPr>
            <w:r>
              <w:t>1.禁止对野生动植物进行滥捕滥采，保持并恢复野生动植物物种和种群的平衡，实现野生动植物资源的良性循环和永续利用。加强防御外来物种入侵的能力，防止外来有害物种对生态系统的侵害。保护自然生态系统与重要物种栖息地，防止生态建设导致栖息环境的改变；</w:t>
            </w:r>
          </w:p>
          <w:p>
            <w:pPr>
              <w:pStyle w:val="2"/>
              <w:ind w:left="0" w:leftChars="0" w:firstLine="0"/>
            </w:pPr>
            <w:r>
              <w:t>2.禁止生物多样性维护生态功能区的大规模水电开发和林纸一体化产业发展；</w:t>
            </w:r>
          </w:p>
          <w:p>
            <w:pPr>
              <w:pStyle w:val="2"/>
              <w:ind w:left="0" w:leftChars="0" w:firstLine="0"/>
            </w:pPr>
            <w:r>
              <w:rPr>
                <w:rFonts w:hint="eastAsia"/>
              </w:rPr>
              <w:t>3.扎赉诺尔区生物多样性维护生态功能重要区域一般生态空间内的矿产资源开发、线性工程、风电、光伏项目、油气田项目开发活动必须符合法律法规的要求，施工过程中严格控制用地范围，施工建设、开采活动不得影响本功能区内的主导生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3" w:type="dxa"/>
            <w:vMerge w:val="restart"/>
            <w:vAlign w:val="center"/>
          </w:tcPr>
          <w:p>
            <w:pPr>
              <w:widowControl/>
              <w:ind w:left="0" w:leftChars="0" w:right="0" w:rightChars="0"/>
              <w:jc w:val="center"/>
              <w:rPr>
                <w:szCs w:val="21"/>
              </w:rPr>
            </w:pPr>
            <w:r>
              <w:rPr>
                <w:rFonts w:hint="eastAsia"/>
                <w:szCs w:val="21"/>
              </w:rPr>
              <w:t>ZH15070320001</w:t>
            </w:r>
          </w:p>
        </w:tc>
        <w:tc>
          <w:tcPr>
            <w:tcW w:w="1108" w:type="dxa"/>
            <w:vMerge w:val="restart"/>
            <w:vAlign w:val="center"/>
          </w:tcPr>
          <w:p>
            <w:pPr>
              <w:widowControl/>
              <w:ind w:left="0" w:leftChars="0" w:right="0" w:rightChars="0"/>
              <w:jc w:val="center"/>
              <w:rPr>
                <w:szCs w:val="21"/>
              </w:rPr>
            </w:pPr>
            <w:r>
              <w:rPr>
                <w:szCs w:val="21"/>
              </w:rPr>
              <w:t>扎赉诺尔</w:t>
            </w:r>
            <w:r>
              <w:rPr>
                <w:rFonts w:hint="eastAsia"/>
                <w:szCs w:val="21"/>
              </w:rPr>
              <w:t>非</w:t>
            </w:r>
            <w:r>
              <w:rPr>
                <w:szCs w:val="21"/>
              </w:rPr>
              <w:t>金属矿</w:t>
            </w:r>
          </w:p>
        </w:tc>
        <w:tc>
          <w:tcPr>
            <w:tcW w:w="957"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709"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709"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t>3.</w:t>
            </w:r>
            <w:r>
              <w:rPr>
                <w:rFonts w:hint="eastAsia"/>
              </w:rPr>
              <w:t>矿山开采企业应当加强精细化管理，采取有效措施防治矿山开采、贮存、装卸、运输全过程的扬尘污染，确保扬尘达标排放。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709"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全面整治历史遗留尾矿库，完善覆膜、压土、排洪、堤坝加固等隐患治理和闭库措施。有重点监管尾矿库的企业要开展环境风险评估，完善污染治理设施，储备应急物资。加强对矿产资源开发利用活动的辐射安全监管，有关企业每年要对本矿区土壤进行辐射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9" w:type="dxa"/>
            <w:vAlign w:val="center"/>
          </w:tcPr>
          <w:p>
            <w:pPr>
              <w:widowControl/>
              <w:ind w:left="0" w:leftChars="0" w:right="0" w:rightChars="0"/>
              <w:textAlignment w:val="center"/>
            </w:pPr>
            <w:r>
              <w:t>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ZH15070320002</w:t>
            </w:r>
          </w:p>
        </w:tc>
        <w:tc>
          <w:tcPr>
            <w:tcW w:w="1108" w:type="dxa"/>
            <w:vMerge w:val="restart"/>
            <w:vAlign w:val="center"/>
          </w:tcPr>
          <w:p>
            <w:pPr>
              <w:widowControl/>
              <w:ind w:left="0" w:leftChars="0" w:right="0" w:rightChars="0"/>
              <w:jc w:val="center"/>
              <w:rPr>
                <w:szCs w:val="21"/>
              </w:rPr>
            </w:pPr>
            <w:r>
              <w:rPr>
                <w:szCs w:val="21"/>
              </w:rPr>
              <w:t>扎赉诺尔矿区</w:t>
            </w:r>
          </w:p>
        </w:tc>
        <w:tc>
          <w:tcPr>
            <w:tcW w:w="957"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709"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709"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709"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jc w:val="left"/>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9"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rFonts w:hint="eastAsia"/>
                <w:szCs w:val="21"/>
              </w:rPr>
              <w:t>ZH15070320003</w:t>
            </w:r>
          </w:p>
        </w:tc>
        <w:tc>
          <w:tcPr>
            <w:tcW w:w="1108" w:type="dxa"/>
            <w:vMerge w:val="restart"/>
            <w:vAlign w:val="center"/>
          </w:tcPr>
          <w:p>
            <w:pPr>
              <w:widowControl/>
              <w:ind w:left="0" w:leftChars="0" w:right="0" w:rightChars="0"/>
              <w:jc w:val="center"/>
              <w:rPr>
                <w:szCs w:val="21"/>
              </w:rPr>
            </w:pPr>
            <w:r>
              <w:rPr>
                <w:szCs w:val="21"/>
              </w:rPr>
              <w:t>扎赉诺尔区煤矿</w:t>
            </w:r>
          </w:p>
        </w:tc>
        <w:tc>
          <w:tcPr>
            <w:tcW w:w="957"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709" w:type="dxa"/>
            <w:vAlign w:val="center"/>
          </w:tcPr>
          <w:p>
            <w:pPr>
              <w:widowControl/>
              <w:ind w:left="0" w:leftChars="0" w:right="0" w:rightChars="0"/>
              <w:textAlignment w:val="center"/>
            </w:pPr>
            <w:r>
              <w:t>1.非经国务院授权的有关主管部门同意，不得在《中华人民共和国矿产资源法（修正）》中所列的6种地区开采矿产资源。</w:t>
            </w:r>
          </w:p>
          <w:p>
            <w:pPr>
              <w:widowControl/>
              <w:ind w:left="0" w:leftChars="0" w:right="0" w:rightChars="0"/>
              <w:textAlignment w:val="center"/>
            </w:pPr>
            <w:r>
              <w:t>2.禁止新建、扩建《产业结构调整指导目录（2019年本）》明确的淘汰类项目；严格执行《自治区国家重点生态功能区产业准入负面清单（试行）》（内政发〔2018〕11号）中采矿业管控要求。</w:t>
            </w:r>
          </w:p>
          <w:p>
            <w:pPr>
              <w:pStyle w:val="2"/>
              <w:ind w:left="0" w:leftChars="0" w:right="0" w:rightChars="0" w:firstLine="0"/>
              <w:textAlignment w:val="center"/>
            </w:pPr>
            <w:r>
              <w:t>3.严格控制草原上新建矿产资源开发项目。新上矿产资源开发项目在开展前期工作时，应征求林业和草原行政主管部门意见，严格执行国家林草局草原征占用审核审批管理制度，把先预审、再立项、后建设的源头把控原则落到实处。</w:t>
            </w:r>
            <w:r>
              <w:rPr>
                <w:rFonts w:hint="eastAsia"/>
              </w:rPr>
              <w:t>进一步加大草原生态保护修复力度，加快草原生态恢复，提升草原生态服务功能，筑牢我国北方重要生态安全屏障。</w:t>
            </w:r>
          </w:p>
          <w:p>
            <w:pPr>
              <w:pStyle w:val="2"/>
              <w:ind w:left="0" w:leftChars="0" w:right="0" w:rightChars="0" w:firstLine="0"/>
              <w:textAlignment w:val="center"/>
            </w:pPr>
            <w:r>
              <w:t>4.严格规范草原上已建矿产资源开发项目。对依法批准的草原上已建和在建矿产资源开发项目，不得在依法确定的矿区范围外平面增扩面积，不得未经批准由井工开采变为露天开采，严格控制排渣场、排土场、煤矸石堆场、场区道路占用草原面积。</w:t>
            </w:r>
          </w:p>
          <w:p>
            <w:pPr>
              <w:pStyle w:val="2"/>
              <w:ind w:left="0" w:leftChars="0" w:right="0" w:rightChars="0" w:firstLine="0"/>
              <w:textAlignment w:val="center"/>
            </w:pPr>
            <w:r>
              <w:rPr>
                <w:rFonts w:hint="eastAsia"/>
              </w:rPr>
              <w:t>5.合理开发利用和保护煤炭资源，规范煤炭生产、经营、清洁高效利用及相关活动，保障煤炭产业高质量发展。推进矿山环境综合治理，严格执行绿色矿山准入标准。</w:t>
            </w:r>
          </w:p>
          <w:p>
            <w:pPr>
              <w:pStyle w:val="2"/>
              <w:ind w:left="0" w:leftChars="0" w:right="0" w:rightChars="0" w:firstLine="0"/>
            </w:pPr>
            <w:r>
              <w:rPr>
                <w:rFonts w:hint="eastAsia"/>
              </w:rPr>
              <w:t>6</w:t>
            </w:r>
            <w:r>
              <w:t>.执行</w:t>
            </w:r>
            <w:r>
              <w:rPr>
                <w:rFonts w:hint="eastAsia"/>
              </w:rPr>
              <w:t>《内蒙古自治区矿产资源总体规划（2021—2025年）》</w:t>
            </w:r>
            <w:r>
              <w:t>中最低开采规模相关要求。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709" w:type="dxa"/>
            <w:vAlign w:val="center"/>
          </w:tcPr>
          <w:p>
            <w:pPr>
              <w:widowControl/>
              <w:ind w:left="0" w:leftChars="0" w:right="0" w:rightChars="0"/>
              <w:textAlignment w:val="center"/>
            </w:pPr>
            <w:r>
              <w:t>1.矿产资源勘查以及采选过程中排土场、露天采场、尾矿库、矿区专用道路、矿山工业场地、沉陷区、矸石场、矿山污染场地等的生态环境保护与治理恢复工作须满足《矿山生态环境保护与治理恢复技术规范（试行）》（HJ651-2013）要求。落实边开采、边保护、边复垦的要求，使新建、在建矿山损毁土地得到全面复垦。</w:t>
            </w:r>
          </w:p>
          <w:p>
            <w:pPr>
              <w:widowControl/>
              <w:ind w:left="0" w:leftChars="0" w:right="0" w:rightChars="0"/>
              <w:textAlignment w:val="center"/>
            </w:pPr>
            <w:r>
              <w:t>2.生产矿山年度占用土地面积与年度治理面积基本达到平衡，“三废”排放符合环保指标要求。</w:t>
            </w:r>
          </w:p>
          <w:p>
            <w:pPr>
              <w:widowControl/>
              <w:ind w:left="0" w:leftChars="0" w:right="0" w:rightChars="0"/>
              <w:textAlignment w:val="center"/>
            </w:pPr>
            <w:r>
              <w:rPr>
                <w:rFonts w:hint="eastAsia"/>
              </w:rPr>
              <w:t>3</w:t>
            </w:r>
            <w:r>
              <w:t>.煤矿地面运煤系统、运输设备、煤炭贮存场所应当全封闭。鼓励有条件的露天矿山采用密闭式皮带运输系统，煤炭企业应当负责矿权范围内和排矸场等着火点灭火工作；提高煤矸石、矿井水的综合利用。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709" w:type="dxa"/>
            <w:vAlign w:val="center"/>
          </w:tcPr>
          <w:p>
            <w:pPr>
              <w:widowControl/>
              <w:ind w:left="0" w:leftChars="0" w:right="0" w:rightChars="0"/>
              <w:textAlignment w:val="center"/>
            </w:pPr>
            <w:r>
              <w:t>1.制定环境风险应急预案，成立应急组织机构，配备必要的应急设施和应急物资，定期开展环境风险应急演练。</w:t>
            </w:r>
          </w:p>
          <w:p>
            <w:pPr>
              <w:widowControl/>
              <w:ind w:left="0" w:leftChars="0" w:right="0" w:rightChars="0"/>
              <w:textAlignment w:val="center"/>
            </w:pPr>
            <w:r>
              <w:t>2.加强采矿引起的滑坡、塌陷等次生地质灾害的防范和治理，及时回填废弃巷道和采空区，要充分利用采矿疏干排出的地下水，最大限度的维持矿区生态平衡。</w:t>
            </w:r>
          </w:p>
          <w:p>
            <w:pPr>
              <w:widowControl/>
              <w:ind w:left="0" w:leftChars="0" w:right="0" w:rightChars="0"/>
              <w:jc w:val="left"/>
            </w:pPr>
            <w:r>
              <w:rPr>
                <w:rFonts w:hint="eastAsia"/>
              </w:rPr>
              <w:t>3.强化安全生产责任落实，建立安全生产长效机制，坚决防范、遏制露天煤矿生产安全事故发生。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9" w:type="dxa"/>
            <w:vAlign w:val="center"/>
          </w:tcPr>
          <w:p>
            <w:pPr>
              <w:widowControl/>
              <w:ind w:left="0" w:leftChars="0" w:right="0" w:rightChars="0"/>
              <w:textAlignment w:val="center"/>
            </w:pPr>
            <w:r>
              <w:t>1</w:t>
            </w:r>
            <w:r>
              <w:rPr>
                <w:rFonts w:hint="eastAsia"/>
              </w:rPr>
              <w:t>.</w:t>
            </w:r>
            <w:r>
              <w:t>原煤入选率不低于75%；煤矸石综合利用率应达到75%以上；矿井水、疏干水应采用洁净化、资源化技术和工艺进行合理处置，处置率达到100%。</w:t>
            </w:r>
          </w:p>
          <w:p>
            <w:pPr>
              <w:widowControl/>
              <w:ind w:left="0" w:leftChars="0" w:right="0" w:rightChars="0"/>
              <w:textAlignment w:val="center"/>
            </w:pPr>
            <w:r>
              <w:t>2</w:t>
            </w:r>
            <w:r>
              <w:rPr>
                <w:rFonts w:hint="eastAsia"/>
              </w:rPr>
              <w:t>.</w:t>
            </w:r>
            <w:r>
              <w:t>煤矿采区回采率、原煤入选率、煤矸石与共伴生矿产资源综合利用率等三项指标符合自然资源部发布的《煤炭资源合理开发利用“三率”指标要求（试行）》。</w:t>
            </w:r>
          </w:p>
          <w:p>
            <w:pPr>
              <w:widowControl/>
              <w:ind w:left="0" w:leftChars="0" w:right="0" w:rightChars="0"/>
              <w:textAlignment w:val="center"/>
            </w:pPr>
            <w:r>
              <w:t>3.2025年，矿山“三率”水平达标率达95%以上，废水利用率达85%以上，固废处理率100%，生产矿山地质环境治理率、矿区可绿化面积覆盖率达100%。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restart"/>
            <w:vAlign w:val="center"/>
          </w:tcPr>
          <w:p>
            <w:pPr>
              <w:widowControl/>
              <w:ind w:left="0" w:leftChars="0" w:right="0" w:rightChars="0"/>
              <w:jc w:val="center"/>
              <w:rPr>
                <w:szCs w:val="21"/>
              </w:rPr>
            </w:pPr>
            <w:r>
              <w:rPr>
                <w:szCs w:val="21"/>
              </w:rPr>
              <w:t>ZH15070320004</w:t>
            </w:r>
          </w:p>
        </w:tc>
        <w:tc>
          <w:tcPr>
            <w:tcW w:w="1108" w:type="dxa"/>
            <w:vMerge w:val="restart"/>
            <w:vAlign w:val="center"/>
          </w:tcPr>
          <w:p>
            <w:pPr>
              <w:widowControl/>
              <w:ind w:left="0" w:leftChars="0" w:right="0" w:rightChars="0"/>
              <w:jc w:val="center"/>
              <w:rPr>
                <w:szCs w:val="21"/>
              </w:rPr>
            </w:pPr>
            <w:r>
              <w:rPr>
                <w:szCs w:val="21"/>
              </w:rPr>
              <w:t>满洲里市边境经济合作区扎赉诺尔工业园</w:t>
            </w:r>
          </w:p>
        </w:tc>
        <w:tc>
          <w:tcPr>
            <w:tcW w:w="957"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709" w:type="dxa"/>
            <w:vAlign w:val="center"/>
          </w:tcPr>
          <w:p>
            <w:pPr>
              <w:widowControl/>
              <w:ind w:left="0" w:leftChars="0" w:right="0" w:rightChars="0"/>
              <w:textAlignment w:val="center"/>
            </w:pPr>
            <w:r>
              <w:t>1.取消煤制油、半焦、煤制天然气、粉煤灰制氧化铝、电解铝、镁及镁合金等项目。</w:t>
            </w:r>
          </w:p>
          <w:p>
            <w:pPr>
              <w:widowControl/>
              <w:ind w:left="0" w:leftChars="0" w:right="0" w:rightChars="0"/>
              <w:textAlignment w:val="center"/>
            </w:pPr>
            <w:r>
              <w:t>2.东区南部边界1</w:t>
            </w:r>
            <w:r>
              <w:rPr>
                <w:rFonts w:hint="eastAsia"/>
              </w:rPr>
              <w:t>千米</w:t>
            </w:r>
            <w:r>
              <w:t>范围内</w:t>
            </w:r>
            <w:r>
              <w:rPr>
                <w:rFonts w:hint="eastAsia"/>
              </w:rPr>
              <w:t>应规划为隔离带，减缓对呼伦湖保护区的影响。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709" w:type="dxa"/>
            <w:vAlign w:val="center"/>
          </w:tcPr>
          <w:p>
            <w:pPr>
              <w:widowControl/>
              <w:ind w:left="0" w:leftChars="0" w:right="0" w:rightChars="0"/>
              <w:textAlignment w:val="center"/>
            </w:pPr>
            <w:r>
              <w:t>1.新建排放重金属污染物的建设项目全面执行重金属重点污染物特别排放限值。</w:t>
            </w:r>
          </w:p>
          <w:p>
            <w:pPr>
              <w:widowControl/>
              <w:ind w:left="0" w:leftChars="0" w:right="0" w:rightChars="0"/>
              <w:textAlignment w:val="center"/>
            </w:pPr>
            <w:r>
              <w:t>2.对园区的污水处理厂的出水水质按《城镇污水处理厂污染物排放标准》（GB18918-2002）中的一级A标准或企业生产回用水水质要求进行重新设计，确保污水处理厂出水可作为园区内的中水全部回用。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szCs w:val="21"/>
              </w:rPr>
              <w:t>环境风险防控</w:t>
            </w:r>
          </w:p>
        </w:tc>
        <w:tc>
          <w:tcPr>
            <w:tcW w:w="5709" w:type="dxa"/>
            <w:vAlign w:val="center"/>
          </w:tcPr>
          <w:p>
            <w:pPr>
              <w:widowControl/>
              <w:ind w:left="0" w:leftChars="0" w:right="0" w:rightChars="0"/>
              <w:textAlignment w:val="center"/>
            </w:pPr>
            <w:r>
              <w:t>完善环境风险防控体系。全面落实园区、企业环境风险应急预案各项要求，增强突发环境事件处置能力。开展涉危涉化企业、有风险隐患的渣场等风险排查和整改工作，及时消除隐患。按要求建设园区隔离带、绿化防护带和风险事故水池等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szCs w:val="21"/>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szCs w:val="21"/>
              </w:rPr>
            </w:pPr>
            <w:r>
              <w:rPr>
                <w:kern w:val="0"/>
                <w:szCs w:val="21"/>
                <w:lang w:bidi="ar"/>
              </w:rPr>
              <w:t>资源利用效率要求</w:t>
            </w:r>
          </w:p>
        </w:tc>
        <w:tc>
          <w:tcPr>
            <w:tcW w:w="5709" w:type="dxa"/>
            <w:vAlign w:val="center"/>
          </w:tcPr>
          <w:p>
            <w:pPr>
              <w:widowControl/>
              <w:ind w:left="0" w:leftChars="0" w:right="0" w:rightChars="0"/>
              <w:textAlignment w:val="center"/>
            </w:pPr>
            <w:r>
              <w:t>1.新、改、扩建的高耗水工业项目，禁止擅自使用地下水。优先配置利用中水和疏干水等作为生产水源；具备使用非常规水源条件的园区，限期关闭企业生产用地下水自备水井。</w:t>
            </w:r>
          </w:p>
          <w:p>
            <w:pPr>
              <w:widowControl/>
              <w:ind w:left="0" w:leftChars="0" w:right="0" w:rightChars="0"/>
              <w:textAlignment w:val="center"/>
            </w:pPr>
            <w:r>
              <w:t>2.实行地下水取用水总量控制和水位控制制度。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kern w:val="0"/>
                <w:szCs w:val="21"/>
                <w:lang w:bidi="ar"/>
              </w:rPr>
            </w:pPr>
            <w:r>
              <w:rPr>
                <w:kern w:val="0"/>
                <w:szCs w:val="21"/>
                <w:lang w:bidi="ar"/>
              </w:rPr>
              <w:t>ZH15070320005</w:t>
            </w:r>
          </w:p>
        </w:tc>
        <w:tc>
          <w:tcPr>
            <w:tcW w:w="1108" w:type="dxa"/>
            <w:vMerge w:val="restart"/>
            <w:vAlign w:val="center"/>
          </w:tcPr>
          <w:p>
            <w:pPr>
              <w:widowControl/>
              <w:ind w:left="0" w:leftChars="0" w:right="0" w:rightChars="0"/>
              <w:jc w:val="center"/>
              <w:rPr>
                <w:kern w:val="0"/>
                <w:szCs w:val="21"/>
                <w:lang w:bidi="ar"/>
              </w:rPr>
            </w:pPr>
            <w:r>
              <w:rPr>
                <w:szCs w:val="21"/>
              </w:rPr>
              <w:t>扎赉诺尔区</w:t>
            </w:r>
            <w:r>
              <w:rPr>
                <w:kern w:val="0"/>
                <w:szCs w:val="21"/>
                <w:lang w:bidi="ar"/>
              </w:rPr>
              <w:t>城镇空间</w:t>
            </w:r>
          </w:p>
        </w:tc>
        <w:tc>
          <w:tcPr>
            <w:tcW w:w="957"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kern w:val="0"/>
                <w:szCs w:val="21"/>
                <w:lang w:bidi="ar"/>
              </w:rPr>
              <w:t>空间布局约束</w:t>
            </w:r>
          </w:p>
        </w:tc>
        <w:tc>
          <w:tcPr>
            <w:tcW w:w="5709" w:type="dxa"/>
            <w:vAlign w:val="center"/>
          </w:tcPr>
          <w:p>
            <w:pPr>
              <w:widowControl/>
              <w:ind w:left="0" w:leftChars="0" w:right="0" w:rightChars="0"/>
              <w:textAlignment w:val="center"/>
            </w:pPr>
            <w:r>
              <w:t>1.扩大城镇集中供热覆盖范围，加大燃煤小锅炉淘汰力度，鼓励采取太阳能、风能多能互补清洁取暖，旗市区城市建成区原则上不再新建35t/h</w:t>
            </w:r>
            <w:r>
              <w:rPr>
                <w:rFonts w:hint="eastAsia"/>
              </w:rPr>
              <w:t>及</w:t>
            </w:r>
            <w:r>
              <w:t>以下燃煤锅炉。</w:t>
            </w:r>
          </w:p>
          <w:p>
            <w:pPr>
              <w:widowControl/>
              <w:ind w:left="0" w:leftChars="0" w:right="0" w:rightChars="0"/>
              <w:textAlignment w:val="center"/>
            </w:pPr>
            <w:r>
              <w:t>2.禁止在居民区和学校、医院、疗养院、养老院等单位周边新建、改建、扩建可能造成土壤污染的建设项目。禁止在人口聚居区域内新（改、扩）建涉重金属及恶臭气体排放企业。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kern w:val="0"/>
                <w:szCs w:val="21"/>
                <w:lang w:bidi="ar"/>
              </w:rPr>
            </w:pPr>
          </w:p>
        </w:tc>
        <w:tc>
          <w:tcPr>
            <w:tcW w:w="1108" w:type="dxa"/>
            <w:vMerge w:val="continue"/>
            <w:vAlign w:val="center"/>
          </w:tcPr>
          <w:p>
            <w:pPr>
              <w:widowControl/>
              <w:ind w:left="0" w:leftChars="0" w:right="0" w:rightChars="0"/>
              <w:jc w:val="center"/>
              <w:rPr>
                <w:kern w:val="0"/>
                <w:szCs w:val="21"/>
                <w:lang w:bidi="ar"/>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污染物排放管控</w:t>
            </w:r>
          </w:p>
        </w:tc>
        <w:tc>
          <w:tcPr>
            <w:tcW w:w="5709" w:type="dxa"/>
            <w:vAlign w:val="center"/>
          </w:tcPr>
          <w:p>
            <w:pPr>
              <w:widowControl/>
              <w:ind w:left="0" w:leftChars="0" w:right="0" w:rightChars="0"/>
              <w:textAlignment w:val="center"/>
            </w:pPr>
            <w:r>
              <w:t>1.提升城镇生活污水收集管网覆盖率，逐步实施雨污管网分流改造、管网更新、破损修复、中水回用等工程。</w:t>
            </w:r>
          </w:p>
          <w:p>
            <w:pPr>
              <w:widowControl/>
              <w:ind w:left="0" w:leftChars="0" w:right="0" w:rightChars="0"/>
              <w:textAlignment w:val="center"/>
            </w:pPr>
            <w:r>
              <w:t>2.禁止在人口集中地区熔化或者焚烧沥青、油毡、橡胶、塑料、皮革以及其他产生有毒有害烟尘和恶臭气体的物质。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kern w:val="0"/>
                <w:szCs w:val="21"/>
                <w:lang w:bidi="ar"/>
              </w:rPr>
            </w:pPr>
          </w:p>
        </w:tc>
        <w:tc>
          <w:tcPr>
            <w:tcW w:w="1108" w:type="dxa"/>
            <w:vMerge w:val="continue"/>
            <w:vAlign w:val="center"/>
          </w:tcPr>
          <w:p>
            <w:pPr>
              <w:widowControl/>
              <w:ind w:left="0" w:leftChars="0" w:right="0" w:rightChars="0"/>
              <w:jc w:val="center"/>
              <w:rPr>
                <w:kern w:val="0"/>
                <w:szCs w:val="21"/>
                <w:lang w:bidi="ar"/>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kern w:val="0"/>
                <w:szCs w:val="21"/>
                <w:lang w:bidi="ar"/>
              </w:rPr>
              <w:t>资源利用效率要求</w:t>
            </w:r>
          </w:p>
        </w:tc>
        <w:tc>
          <w:tcPr>
            <w:tcW w:w="5709" w:type="dxa"/>
            <w:vAlign w:val="center"/>
          </w:tcPr>
          <w:p>
            <w:pPr>
              <w:widowControl/>
              <w:ind w:left="0" w:leftChars="0" w:right="0" w:rightChars="0"/>
              <w:textAlignment w:val="center"/>
            </w:pPr>
            <w:r>
              <w:rPr>
                <w:rFonts w:hint="eastAsia"/>
              </w:rPr>
              <w:t>1</w:t>
            </w:r>
            <w:r>
              <w:t>.在高污染燃料禁燃区内，禁止销售和燃用高污染燃料；禁止新建、改建、扩建任何燃用高污染燃料的项目和设备；</w:t>
            </w:r>
          </w:p>
          <w:p>
            <w:pPr>
              <w:widowControl/>
              <w:ind w:left="0" w:leftChars="0" w:right="0" w:rightChars="0"/>
              <w:textAlignment w:val="center"/>
            </w:pPr>
            <w:r>
              <w:t>已建成使用的高污染燃料燃用设施，应当拆除或改用清洁能源。</w:t>
            </w:r>
          </w:p>
          <w:p>
            <w:pPr>
              <w:widowControl/>
              <w:ind w:left="0" w:leftChars="0" w:right="0" w:rightChars="0"/>
              <w:textAlignment w:val="center"/>
            </w:pPr>
            <w:r>
              <w:t>2</w:t>
            </w:r>
            <w:r>
              <w:rPr>
                <w:rFonts w:hint="eastAsia"/>
              </w:rPr>
              <w:t>.城市绿化优先使用再生水，严禁取用地下水用于城市水景观、水上娱乐项目和人工造雪。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restart"/>
            <w:vAlign w:val="center"/>
          </w:tcPr>
          <w:p>
            <w:pPr>
              <w:widowControl/>
              <w:ind w:left="0" w:leftChars="0" w:right="0" w:rightChars="0"/>
              <w:jc w:val="center"/>
              <w:rPr>
                <w:kern w:val="0"/>
                <w:szCs w:val="21"/>
                <w:lang w:bidi="ar"/>
              </w:rPr>
            </w:pPr>
            <w:r>
              <w:rPr>
                <w:szCs w:val="21"/>
              </w:rPr>
              <w:t>ZH15070320006</w:t>
            </w:r>
          </w:p>
        </w:tc>
        <w:tc>
          <w:tcPr>
            <w:tcW w:w="1108" w:type="dxa"/>
            <w:vMerge w:val="restart"/>
            <w:vAlign w:val="center"/>
          </w:tcPr>
          <w:p>
            <w:pPr>
              <w:widowControl/>
              <w:ind w:left="0" w:leftChars="0" w:right="0" w:rightChars="0"/>
              <w:jc w:val="center"/>
              <w:rPr>
                <w:kern w:val="0"/>
                <w:szCs w:val="21"/>
                <w:lang w:bidi="ar"/>
              </w:rPr>
            </w:pPr>
            <w:r>
              <w:rPr>
                <w:rFonts w:hint="eastAsia"/>
                <w:kern w:val="0"/>
                <w:szCs w:val="21"/>
                <w:lang w:bidi="ar"/>
              </w:rPr>
              <w:t>扎赉诺尔区大气环境高排放重点管控区</w:t>
            </w:r>
          </w:p>
        </w:tc>
        <w:tc>
          <w:tcPr>
            <w:tcW w:w="957" w:type="dxa"/>
            <w:vMerge w:val="restart"/>
            <w:vAlign w:val="center"/>
          </w:tcPr>
          <w:p>
            <w:pPr>
              <w:widowControl/>
              <w:ind w:left="0" w:leftChars="0" w:right="0" w:rightChars="0"/>
              <w:jc w:val="center"/>
              <w:rPr>
                <w:szCs w:val="21"/>
              </w:rPr>
            </w:pPr>
            <w:r>
              <w:rPr>
                <w:szCs w:val="21"/>
              </w:rPr>
              <w:t>重点管控单元</w:t>
            </w:r>
          </w:p>
        </w:tc>
        <w:tc>
          <w:tcPr>
            <w:tcW w:w="684" w:type="dxa"/>
            <w:vAlign w:val="center"/>
          </w:tcPr>
          <w:p>
            <w:pPr>
              <w:widowControl/>
              <w:ind w:left="0" w:leftChars="0" w:right="0" w:rightChars="0"/>
              <w:jc w:val="center"/>
              <w:rPr>
                <w:kern w:val="0"/>
                <w:szCs w:val="21"/>
                <w:lang w:bidi="ar"/>
              </w:rPr>
            </w:pPr>
            <w:r>
              <w:rPr>
                <w:rFonts w:hint="eastAsia"/>
                <w:kern w:val="0"/>
                <w:szCs w:val="21"/>
                <w:lang w:bidi="ar"/>
              </w:rPr>
              <w:t>空间布局约束</w:t>
            </w:r>
          </w:p>
        </w:tc>
        <w:tc>
          <w:tcPr>
            <w:tcW w:w="5709" w:type="dxa"/>
            <w:vAlign w:val="center"/>
          </w:tcPr>
          <w:p>
            <w:pPr>
              <w:widowControl/>
              <w:ind w:left="0" w:leftChars="0" w:right="0" w:rightChars="0"/>
              <w:textAlignment w:val="center"/>
            </w:pPr>
            <w:r>
              <w:rPr>
                <w:rFonts w:hint="eastAsia"/>
              </w:rPr>
              <w:t>1.加大火电、水泥、烧结砖瓦等行业落后产能淘汰和过剩产能压减力度，支持有色、煤炭、建材等传统产业企业加强技术创新、完善工艺流程，促进工业技改投资，推动传统产业行业深度治理和绿色低碳升级改造，实施减污降碳协同治理。巩固提升“散乱污”工业企业治理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kern w:val="0"/>
                <w:szCs w:val="21"/>
                <w:lang w:bidi="ar"/>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rFonts w:hint="eastAsia"/>
                <w:kern w:val="0"/>
                <w:szCs w:val="21"/>
                <w:lang w:bidi="ar"/>
              </w:rPr>
              <w:t>污染物排放管控</w:t>
            </w:r>
          </w:p>
        </w:tc>
        <w:tc>
          <w:tcPr>
            <w:tcW w:w="5709" w:type="dxa"/>
            <w:vAlign w:val="center"/>
          </w:tcPr>
          <w:p>
            <w:pPr>
              <w:widowControl/>
              <w:ind w:left="0" w:leftChars="0" w:right="0" w:rightChars="0"/>
              <w:textAlignment w:val="center"/>
            </w:pPr>
            <w:r>
              <w:rPr>
                <w:rFonts w:hint="eastAsia"/>
              </w:rPr>
              <w:t>1.严格落实污染物排放总量控制制度，把主要污染物排放总量指标作为环评审批的前置条件。</w:t>
            </w:r>
            <w:r>
              <w:rPr>
                <w:rFonts w:hint="eastAsia"/>
              </w:rPr>
              <w:br w:type="textWrapping"/>
            </w:r>
            <w:r>
              <w:rPr>
                <w:rFonts w:hint="eastAsia"/>
              </w:rPr>
              <w:t>2.新建、改扩建项目执行重点污染物特别排放限值。现有项目通过提标升级改造，重点污染物逐步达到特别排放限值。</w:t>
            </w:r>
            <w:r>
              <w:rPr>
                <w:rFonts w:hint="eastAsia"/>
              </w:rPr>
              <w:br w:type="textWrapping"/>
            </w:r>
            <w:r>
              <w:rPr>
                <w:rFonts w:hint="eastAsia"/>
              </w:rPr>
              <w:t>3.强化工业企业无组织排放管理。对物料（含废渣）储存、装卸、破碎、运输、转移和工艺过程等无组织排放实施深度治理。</w:t>
            </w:r>
            <w:r>
              <w:rPr>
                <w:rFonts w:hint="eastAsia"/>
              </w:rPr>
              <w:br w:type="textWrapping"/>
            </w:r>
            <w:r>
              <w:rPr>
                <w:rFonts w:hint="eastAsia"/>
              </w:rPr>
              <w:t>4.状物料（含废渣）和易起尘的块状物料必须进行全封闭，密闭储存；其他块状物料必须入棚入仓或建设防风抑尘网，安装抑尘设施。</w:t>
            </w:r>
            <w:r>
              <w:rPr>
                <w:rFonts w:hint="eastAsia"/>
              </w:rPr>
              <w:br w:type="textWrapping"/>
            </w:r>
            <w:r>
              <w:rPr>
                <w:rFonts w:hint="eastAsia"/>
              </w:rPr>
              <w:t>5.所有粉煤灰、电石渣等固废堆场要严格落实抑尘措施。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73" w:type="dxa"/>
            <w:vMerge w:val="continue"/>
            <w:vAlign w:val="center"/>
          </w:tcPr>
          <w:p>
            <w:pPr>
              <w:widowControl/>
              <w:ind w:left="0" w:leftChars="0" w:right="0" w:rightChars="0"/>
              <w:jc w:val="center"/>
              <w:rPr>
                <w:szCs w:val="21"/>
              </w:rPr>
            </w:pPr>
          </w:p>
        </w:tc>
        <w:tc>
          <w:tcPr>
            <w:tcW w:w="1108" w:type="dxa"/>
            <w:vMerge w:val="continue"/>
            <w:vAlign w:val="center"/>
          </w:tcPr>
          <w:p>
            <w:pPr>
              <w:widowControl/>
              <w:ind w:left="0" w:leftChars="0" w:right="0" w:rightChars="0"/>
              <w:jc w:val="center"/>
              <w:rPr>
                <w:kern w:val="0"/>
                <w:szCs w:val="21"/>
                <w:lang w:bidi="ar"/>
              </w:rPr>
            </w:pPr>
          </w:p>
        </w:tc>
        <w:tc>
          <w:tcPr>
            <w:tcW w:w="957" w:type="dxa"/>
            <w:vMerge w:val="continue"/>
            <w:vAlign w:val="center"/>
          </w:tcPr>
          <w:p>
            <w:pPr>
              <w:widowControl/>
              <w:ind w:left="0" w:leftChars="0" w:right="0" w:rightChars="0"/>
              <w:jc w:val="center"/>
              <w:rPr>
                <w:szCs w:val="21"/>
              </w:rPr>
            </w:pPr>
          </w:p>
        </w:tc>
        <w:tc>
          <w:tcPr>
            <w:tcW w:w="684" w:type="dxa"/>
            <w:vAlign w:val="center"/>
          </w:tcPr>
          <w:p>
            <w:pPr>
              <w:widowControl/>
              <w:ind w:left="0" w:leftChars="0" w:right="0" w:rightChars="0"/>
              <w:jc w:val="center"/>
              <w:rPr>
                <w:kern w:val="0"/>
                <w:szCs w:val="21"/>
                <w:lang w:bidi="ar"/>
              </w:rPr>
            </w:pPr>
            <w:r>
              <w:rPr>
                <w:rFonts w:hint="eastAsia"/>
                <w:kern w:val="0"/>
                <w:szCs w:val="21"/>
                <w:lang w:bidi="ar"/>
              </w:rPr>
              <w:t>资源开发效率</w:t>
            </w:r>
          </w:p>
        </w:tc>
        <w:tc>
          <w:tcPr>
            <w:tcW w:w="5709" w:type="dxa"/>
            <w:vAlign w:val="center"/>
          </w:tcPr>
          <w:p>
            <w:pPr>
              <w:widowControl/>
              <w:ind w:left="0" w:leftChars="0" w:right="0" w:rightChars="0"/>
              <w:textAlignment w:val="center"/>
            </w:pPr>
            <w:r>
              <w:rPr>
                <w:rFonts w:hint="eastAsia"/>
              </w:rPr>
              <w:t>推进能耗强度和总量“双控”，狠抓工业领域节能管理。优化能源产业结构，逐步提高新能源装机比重，煤炭占能源消费总量比重逐年下降。</w:t>
            </w:r>
          </w:p>
        </w:tc>
      </w:tr>
    </w:tbl>
    <w:p>
      <w:pPr>
        <w:pStyle w:val="2"/>
        <w:ind w:left="0" w:leftChars="0" w:firstLine="0"/>
      </w:pPr>
    </w:p>
    <w:sectPr>
      <w:pgSz w:w="16838" w:h="11906" w:orient="landscape"/>
      <w:pgMar w:top="1418" w:right="1440" w:bottom="1418"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105" w:right="-105"/>
      </w:pPr>
      <w:r>
        <w:separator/>
      </w:r>
    </w:p>
  </w:endnote>
  <w:endnote w:type="continuationSeparator" w:id="1">
    <w:p>
      <w:pPr>
        <w:spacing w:line="240" w:lineRule="auto"/>
        <w:ind w:left="-105" w:right="-10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0" w:usb3="00000000" w:csb0="000001FF"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Cambria">
    <w:altName w:val="FreeSerif"/>
    <w:panose1 w:val="02040503050406030204"/>
    <w:charset w:val="00"/>
    <w:family w:val="roman"/>
    <w:pitch w:val="default"/>
    <w:sig w:usb0="00000000" w:usb1="00000000" w:usb2="02000000" w:usb3="00000000" w:csb0="0000019F" w:csb1="00000000"/>
  </w:font>
  <w:font w:name="FreeSerif">
    <w:panose1 w:val="02020603050405020304"/>
    <w:charset w:val="00"/>
    <w:family w:val="auto"/>
    <w:pitch w:val="default"/>
    <w:sig w:usb0="E59FAFFF" w:usb1="C200FDFF" w:usb2="43501B29" w:usb3="04000043" w:csb0="600101FF" w:csb1="FFFF0000"/>
  </w:font>
  <w:font w:name="方正小标宋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52400"/>
              <wp:effectExtent l="0" t="0" r="12065" b="12700"/>
              <wp:wrapNone/>
              <wp:docPr id="19" name="文本框 19"/>
              <wp:cNvGraphicFramePr/>
              <a:graphic xmlns:a="http://schemas.openxmlformats.org/drawingml/2006/main">
                <a:graphicData uri="http://schemas.microsoft.com/office/word/2010/wordprocessingShape">
                  <wps:wsp>
                    <wps:cNvSpPr txBox="1"/>
                    <wps:spPr>
                      <a:xfrm>
                        <a:off x="0" y="0"/>
                        <a:ext cx="57785" cy="152400"/>
                      </a:xfrm>
                      <a:prstGeom prst="rect">
                        <a:avLst/>
                      </a:prstGeom>
                      <a:noFill/>
                      <a:ln w="6350">
                        <a:noFill/>
                      </a:ln>
                      <a:effectLst/>
                    </wps:spPr>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pt;width:4.55pt;mso-position-horizontal:center;mso-position-horizontal-relative:margin;mso-wrap-style:none;z-index:251660288;mso-width-relative:page;mso-height-relative:page;" filled="f" stroked="f" coordsize="21600,21600" o:gfxdata="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dzTXNEAAAACAQAADwAAAAAAAAABACAA&#10;AAA4AAAAZHJzL2Rvd25yZXYueG1sUEsBAhQAFAAAAAgAh07iQJ/4PzY3AgAAYgQAAA4AAAAAAAAA&#10;AQAgAAAANgEAAGRycy9lMm9Eb2MueG1sUEsFBgAAAAAGAAYAWQEAAN8FAAAAAA==&#10;">
              <v:fill on="f" focussize="0,0"/>
              <v:stroke on="f" weight="0.5pt"/>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adjustRightInd/>
      <w:snapToGrid/>
      <w:spacing w:line="240" w:lineRule="auto"/>
      <w:ind w:left="0" w:leftChars="0" w:right="0" w:rightChars="0"/>
      <w:jc w:val="center"/>
      <w:rPr>
        <w:sz w:val="21"/>
        <w:szCs w:val="21"/>
      </w:rPr>
    </w:pPr>
    <w:r>
      <w:rPr>
        <w:sz w:val="21"/>
        <w:szCs w:val="21"/>
      </w:rPr>
      <w:fldChar w:fldCharType="begin"/>
    </w:r>
    <w:r>
      <w:rPr>
        <w:rStyle w:val="17"/>
        <w:sz w:val="21"/>
        <w:szCs w:val="21"/>
      </w:rPr>
      <w:instrText xml:space="preserve"> PAGE </w:instrText>
    </w:r>
    <w:r>
      <w:rPr>
        <w:sz w:val="21"/>
        <w:szCs w:val="21"/>
      </w:rPr>
      <w:fldChar w:fldCharType="separate"/>
    </w:r>
    <w:r>
      <w:rPr>
        <w:rStyle w:val="17"/>
        <w:sz w:val="21"/>
        <w:szCs w:val="21"/>
      </w:rPr>
      <w:t>II</w:t>
    </w:r>
    <w:r>
      <w:rPr>
        <w:sz w:val="21"/>
        <w:szCs w:val="21"/>
      </w:rPr>
      <w:fldChar w:fldCharType="end"/>
    </w:r>
    <w:r>
      <w:rPr>
        <w:sz w:val="21"/>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00" cy="152400"/>
              <wp:effectExtent l="0" t="0" r="12700" b="12700"/>
              <wp:wrapNone/>
              <wp:docPr id="2" name="文本框 2"/>
              <wp:cNvGraphicFramePr/>
              <a:graphic xmlns:a="http://schemas.openxmlformats.org/drawingml/2006/main">
                <a:graphicData uri="http://schemas.microsoft.com/office/word/2010/wordprocessingShape">
                  <wps:wsp>
                    <wps:cNvSpPr txBox="1"/>
                    <wps:spPr>
                      <a:xfrm>
                        <a:off x="0" y="0"/>
                        <a:ext cx="38100" cy="152400"/>
                      </a:xfrm>
                      <a:prstGeom prst="rect">
                        <a:avLst/>
                      </a:prstGeom>
                      <a:noFill/>
                      <a:ln w="6350">
                        <a:noFill/>
                      </a:ln>
                      <a:effectLst/>
                    </wps:spPr>
                    <wps:txbx>
                      <w:txbxContent>
                        <w:p>
                          <w:pPr>
                            <w:pStyle w:val="7"/>
                            <w:rPr>
                              <w:rFonts w:eastAsia="宋体"/>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pt;width:3pt;mso-position-horizontal:center;mso-position-horizontal-relative:margin;mso-wrap-style:none;z-index:251659264;mso-width-relative:page;mso-height-relative:page;" filled="f" stroked="f" coordsize="21600,21600" o:gfxdata="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WAAAAZHJzL1BLAQIUABQAAAAIAIdO4kAD3Pk70AAAAAIBAAAPAAAAAAAAAAEAIAAAADgA&#10;AABkcnMvZG93bnJldi54bWxQSwECFAAUAAAACACHTuJAZKOurjQCAABgBAAADgAAAAAAAAABACAA&#10;AAA1AQAAZHJzL2Uyb0RvYy54bWxQSwUGAAAAAAYABgBZAQAA2wUAAAAA&#10;">
              <v:fill on="f" focussize="0,0"/>
              <v:stroke on="f" weight="0.5pt"/>
              <v:imagedata o:title=""/>
              <o:lock v:ext="edit" aspectratio="f"/>
              <v:textbox inset="0mm,0mm,0mm,0mm" style="mso-fit-shape-to-text:t;">
                <w:txbxContent>
                  <w:p>
                    <w:pPr>
                      <w:pStyle w:val="7"/>
                      <w:rPr>
                        <w:rFonts w:eastAsia="宋体"/>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adjustRightInd/>
      <w:snapToGrid/>
      <w:spacing w:line="240" w:lineRule="auto"/>
      <w:ind w:left="0" w:leftChars="0" w:right="0" w:rightChars="0"/>
      <w:jc w:val="center"/>
      <w:rPr>
        <w:sz w:val="21"/>
        <w:szCs w:val="21"/>
      </w:rPr>
    </w:pPr>
    <w:r>
      <w:rPr>
        <w:rStyle w:val="17"/>
        <w:sz w:val="21"/>
        <w:szCs w:val="21"/>
      </w:rPr>
      <w:fldChar w:fldCharType="begin"/>
    </w:r>
    <w:r>
      <w:rPr>
        <w:rStyle w:val="17"/>
        <w:sz w:val="21"/>
        <w:szCs w:val="21"/>
      </w:rPr>
      <w:instrText xml:space="preserve"> PAGE </w:instrText>
    </w:r>
    <w:r>
      <w:rPr>
        <w:rStyle w:val="17"/>
        <w:sz w:val="21"/>
        <w:szCs w:val="21"/>
      </w:rPr>
      <w:fldChar w:fldCharType="separate"/>
    </w:r>
    <w:r>
      <w:rPr>
        <w:rStyle w:val="17"/>
        <w:sz w:val="21"/>
        <w:szCs w:val="21"/>
      </w:rPr>
      <w:t>1</w:t>
    </w:r>
    <w:r>
      <w:rPr>
        <w:rStyle w:val="17"/>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left="-105" w:right="-105"/>
      </w:pPr>
      <w:r>
        <w:separator/>
      </w:r>
    </w:p>
  </w:footnote>
  <w:footnote w:type="continuationSeparator" w:id="1">
    <w:p>
      <w:pPr>
        <w:spacing w:line="240" w:lineRule="auto"/>
        <w:ind w:left="-105" w:right="-105"/>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hideSpellingError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RkNTZlYWRhMTc0MjYzMWJmMzQ3MTJmNjU1OTlhZTEifQ=="/>
  </w:docVars>
  <w:rsids>
    <w:rsidRoot w:val="0C771B72"/>
    <w:rsid w:val="00003E0D"/>
    <w:rsid w:val="00005402"/>
    <w:rsid w:val="00007A00"/>
    <w:rsid w:val="00007BEF"/>
    <w:rsid w:val="00022ECF"/>
    <w:rsid w:val="000233CB"/>
    <w:rsid w:val="0002395C"/>
    <w:rsid w:val="000255F0"/>
    <w:rsid w:val="0002561E"/>
    <w:rsid w:val="00026FAF"/>
    <w:rsid w:val="00027CE3"/>
    <w:rsid w:val="00036CF2"/>
    <w:rsid w:val="00037E5C"/>
    <w:rsid w:val="00052A18"/>
    <w:rsid w:val="000626D5"/>
    <w:rsid w:val="00063AC6"/>
    <w:rsid w:val="000707EC"/>
    <w:rsid w:val="00072124"/>
    <w:rsid w:val="000828EB"/>
    <w:rsid w:val="00085E2B"/>
    <w:rsid w:val="000B1543"/>
    <w:rsid w:val="000B2062"/>
    <w:rsid w:val="000B5E4C"/>
    <w:rsid w:val="000B70C7"/>
    <w:rsid w:val="000C0816"/>
    <w:rsid w:val="000C1E75"/>
    <w:rsid w:val="000C1E85"/>
    <w:rsid w:val="000C72F4"/>
    <w:rsid w:val="000D505A"/>
    <w:rsid w:val="000E152D"/>
    <w:rsid w:val="000E5EFD"/>
    <w:rsid w:val="000F3AD0"/>
    <w:rsid w:val="000F723F"/>
    <w:rsid w:val="001002D8"/>
    <w:rsid w:val="00101AE9"/>
    <w:rsid w:val="00102825"/>
    <w:rsid w:val="001055BE"/>
    <w:rsid w:val="00106899"/>
    <w:rsid w:val="001201A5"/>
    <w:rsid w:val="00120F6A"/>
    <w:rsid w:val="001271E5"/>
    <w:rsid w:val="00133387"/>
    <w:rsid w:val="00135F49"/>
    <w:rsid w:val="0014046D"/>
    <w:rsid w:val="001510DF"/>
    <w:rsid w:val="00155FD7"/>
    <w:rsid w:val="001570FF"/>
    <w:rsid w:val="001650D1"/>
    <w:rsid w:val="001904AC"/>
    <w:rsid w:val="001A5873"/>
    <w:rsid w:val="001A6784"/>
    <w:rsid w:val="001B03F7"/>
    <w:rsid w:val="001B5016"/>
    <w:rsid w:val="001B506D"/>
    <w:rsid w:val="001B75A6"/>
    <w:rsid w:val="001C2B57"/>
    <w:rsid w:val="001D3336"/>
    <w:rsid w:val="001D4206"/>
    <w:rsid w:val="001D7795"/>
    <w:rsid w:val="001E370C"/>
    <w:rsid w:val="001F00B0"/>
    <w:rsid w:val="00223287"/>
    <w:rsid w:val="00224DD8"/>
    <w:rsid w:val="002277EF"/>
    <w:rsid w:val="002410F1"/>
    <w:rsid w:val="0024492B"/>
    <w:rsid w:val="0026250B"/>
    <w:rsid w:val="002677DF"/>
    <w:rsid w:val="00277C4C"/>
    <w:rsid w:val="002805BA"/>
    <w:rsid w:val="002829CB"/>
    <w:rsid w:val="00296817"/>
    <w:rsid w:val="00296852"/>
    <w:rsid w:val="002B481B"/>
    <w:rsid w:val="002C4449"/>
    <w:rsid w:val="002C6739"/>
    <w:rsid w:val="002C71C9"/>
    <w:rsid w:val="002D75EE"/>
    <w:rsid w:val="002E01C1"/>
    <w:rsid w:val="002E3588"/>
    <w:rsid w:val="002E4987"/>
    <w:rsid w:val="002E53FE"/>
    <w:rsid w:val="002E6413"/>
    <w:rsid w:val="002F7C6F"/>
    <w:rsid w:val="003162B9"/>
    <w:rsid w:val="00316BF8"/>
    <w:rsid w:val="00317F14"/>
    <w:rsid w:val="00322F6F"/>
    <w:rsid w:val="00325B12"/>
    <w:rsid w:val="003321B3"/>
    <w:rsid w:val="0033300E"/>
    <w:rsid w:val="00351550"/>
    <w:rsid w:val="003532FE"/>
    <w:rsid w:val="00361104"/>
    <w:rsid w:val="00362CE7"/>
    <w:rsid w:val="00367851"/>
    <w:rsid w:val="0037459A"/>
    <w:rsid w:val="00382262"/>
    <w:rsid w:val="003857B8"/>
    <w:rsid w:val="00386162"/>
    <w:rsid w:val="003906B6"/>
    <w:rsid w:val="003A20D9"/>
    <w:rsid w:val="003A370A"/>
    <w:rsid w:val="003C0D8C"/>
    <w:rsid w:val="003C28DE"/>
    <w:rsid w:val="003C5325"/>
    <w:rsid w:val="003D0F52"/>
    <w:rsid w:val="003D404A"/>
    <w:rsid w:val="003F0ABA"/>
    <w:rsid w:val="003F3EC2"/>
    <w:rsid w:val="004014EA"/>
    <w:rsid w:val="0040338A"/>
    <w:rsid w:val="00407734"/>
    <w:rsid w:val="004174B0"/>
    <w:rsid w:val="00425F4D"/>
    <w:rsid w:val="00432BAE"/>
    <w:rsid w:val="00445FE5"/>
    <w:rsid w:val="00447195"/>
    <w:rsid w:val="0045223A"/>
    <w:rsid w:val="0045315A"/>
    <w:rsid w:val="00456792"/>
    <w:rsid w:val="0046550B"/>
    <w:rsid w:val="004808F3"/>
    <w:rsid w:val="004823EA"/>
    <w:rsid w:val="004839F8"/>
    <w:rsid w:val="00484E1C"/>
    <w:rsid w:val="0048721E"/>
    <w:rsid w:val="0049417C"/>
    <w:rsid w:val="00494FFB"/>
    <w:rsid w:val="004B2730"/>
    <w:rsid w:val="004B2A88"/>
    <w:rsid w:val="004B4FDE"/>
    <w:rsid w:val="004B55A2"/>
    <w:rsid w:val="004B6C8A"/>
    <w:rsid w:val="004C0647"/>
    <w:rsid w:val="004C190A"/>
    <w:rsid w:val="004C4526"/>
    <w:rsid w:val="004C6619"/>
    <w:rsid w:val="004E0863"/>
    <w:rsid w:val="004F672D"/>
    <w:rsid w:val="004F706F"/>
    <w:rsid w:val="00502F14"/>
    <w:rsid w:val="00506C33"/>
    <w:rsid w:val="00514A17"/>
    <w:rsid w:val="00515D91"/>
    <w:rsid w:val="00524544"/>
    <w:rsid w:val="005319D6"/>
    <w:rsid w:val="00552E28"/>
    <w:rsid w:val="0055420B"/>
    <w:rsid w:val="00554F82"/>
    <w:rsid w:val="005574FC"/>
    <w:rsid w:val="005617B4"/>
    <w:rsid w:val="00566E6C"/>
    <w:rsid w:val="00566F54"/>
    <w:rsid w:val="00571884"/>
    <w:rsid w:val="00581B72"/>
    <w:rsid w:val="00584CDD"/>
    <w:rsid w:val="005858CB"/>
    <w:rsid w:val="00594817"/>
    <w:rsid w:val="005957E8"/>
    <w:rsid w:val="005973DA"/>
    <w:rsid w:val="005A117B"/>
    <w:rsid w:val="005A32D1"/>
    <w:rsid w:val="005A39AC"/>
    <w:rsid w:val="005B1D6D"/>
    <w:rsid w:val="005B28FF"/>
    <w:rsid w:val="005B2CEE"/>
    <w:rsid w:val="005C0EB6"/>
    <w:rsid w:val="005C5709"/>
    <w:rsid w:val="005D1033"/>
    <w:rsid w:val="005D180E"/>
    <w:rsid w:val="005D426D"/>
    <w:rsid w:val="005D4EF4"/>
    <w:rsid w:val="005E0760"/>
    <w:rsid w:val="005E2026"/>
    <w:rsid w:val="005E5C6B"/>
    <w:rsid w:val="005F60EA"/>
    <w:rsid w:val="00615523"/>
    <w:rsid w:val="00616213"/>
    <w:rsid w:val="00616ABB"/>
    <w:rsid w:val="0062067D"/>
    <w:rsid w:val="00622A09"/>
    <w:rsid w:val="00623711"/>
    <w:rsid w:val="00626336"/>
    <w:rsid w:val="006302AC"/>
    <w:rsid w:val="006314A4"/>
    <w:rsid w:val="00633D65"/>
    <w:rsid w:val="0063736C"/>
    <w:rsid w:val="00641E35"/>
    <w:rsid w:val="00644136"/>
    <w:rsid w:val="00645991"/>
    <w:rsid w:val="0064653C"/>
    <w:rsid w:val="00646D6A"/>
    <w:rsid w:val="00647AB7"/>
    <w:rsid w:val="00654365"/>
    <w:rsid w:val="0065666E"/>
    <w:rsid w:val="00663A28"/>
    <w:rsid w:val="00666159"/>
    <w:rsid w:val="006729E2"/>
    <w:rsid w:val="00675481"/>
    <w:rsid w:val="00680351"/>
    <w:rsid w:val="00680E7C"/>
    <w:rsid w:val="0068120D"/>
    <w:rsid w:val="006836D3"/>
    <w:rsid w:val="00684529"/>
    <w:rsid w:val="006873C0"/>
    <w:rsid w:val="00697D40"/>
    <w:rsid w:val="006B184A"/>
    <w:rsid w:val="006B2429"/>
    <w:rsid w:val="006B5065"/>
    <w:rsid w:val="006B696F"/>
    <w:rsid w:val="006B7FDF"/>
    <w:rsid w:val="006C07C2"/>
    <w:rsid w:val="006D3DF3"/>
    <w:rsid w:val="006F3701"/>
    <w:rsid w:val="00700DAB"/>
    <w:rsid w:val="00710607"/>
    <w:rsid w:val="0071142E"/>
    <w:rsid w:val="00712832"/>
    <w:rsid w:val="007149FF"/>
    <w:rsid w:val="007166F6"/>
    <w:rsid w:val="00720DF1"/>
    <w:rsid w:val="0073160D"/>
    <w:rsid w:val="007370FE"/>
    <w:rsid w:val="007374FB"/>
    <w:rsid w:val="007436BB"/>
    <w:rsid w:val="007439EE"/>
    <w:rsid w:val="00747832"/>
    <w:rsid w:val="00755DF0"/>
    <w:rsid w:val="00760E0D"/>
    <w:rsid w:val="00761181"/>
    <w:rsid w:val="0076152C"/>
    <w:rsid w:val="00763670"/>
    <w:rsid w:val="00764E63"/>
    <w:rsid w:val="00766314"/>
    <w:rsid w:val="00774224"/>
    <w:rsid w:val="007756C4"/>
    <w:rsid w:val="0078045C"/>
    <w:rsid w:val="00783F9D"/>
    <w:rsid w:val="00785657"/>
    <w:rsid w:val="00786025"/>
    <w:rsid w:val="00796A01"/>
    <w:rsid w:val="007977E3"/>
    <w:rsid w:val="007978C7"/>
    <w:rsid w:val="007A7BA7"/>
    <w:rsid w:val="007B3A7C"/>
    <w:rsid w:val="007C42DC"/>
    <w:rsid w:val="007C70B9"/>
    <w:rsid w:val="007E4CA5"/>
    <w:rsid w:val="007E61E0"/>
    <w:rsid w:val="007F0A1D"/>
    <w:rsid w:val="007F1E0F"/>
    <w:rsid w:val="00802ABE"/>
    <w:rsid w:val="008033AA"/>
    <w:rsid w:val="008050C3"/>
    <w:rsid w:val="008112CF"/>
    <w:rsid w:val="00811B27"/>
    <w:rsid w:val="00815132"/>
    <w:rsid w:val="0081531E"/>
    <w:rsid w:val="008315AB"/>
    <w:rsid w:val="00842FFE"/>
    <w:rsid w:val="00860F53"/>
    <w:rsid w:val="00862E5E"/>
    <w:rsid w:val="00863558"/>
    <w:rsid w:val="0087050E"/>
    <w:rsid w:val="00871696"/>
    <w:rsid w:val="00877B4B"/>
    <w:rsid w:val="00881E14"/>
    <w:rsid w:val="00886105"/>
    <w:rsid w:val="008923FC"/>
    <w:rsid w:val="00894A66"/>
    <w:rsid w:val="008A307A"/>
    <w:rsid w:val="008C3638"/>
    <w:rsid w:val="008D17F5"/>
    <w:rsid w:val="008E0D8C"/>
    <w:rsid w:val="008F35B5"/>
    <w:rsid w:val="00916070"/>
    <w:rsid w:val="00921B29"/>
    <w:rsid w:val="009269A2"/>
    <w:rsid w:val="00930024"/>
    <w:rsid w:val="00934FE9"/>
    <w:rsid w:val="009514E1"/>
    <w:rsid w:val="0095166F"/>
    <w:rsid w:val="00954E58"/>
    <w:rsid w:val="00964238"/>
    <w:rsid w:val="00965243"/>
    <w:rsid w:val="00973C4C"/>
    <w:rsid w:val="00980AFB"/>
    <w:rsid w:val="00981F2F"/>
    <w:rsid w:val="009834F6"/>
    <w:rsid w:val="00987736"/>
    <w:rsid w:val="00991F32"/>
    <w:rsid w:val="009A7594"/>
    <w:rsid w:val="009B0E2B"/>
    <w:rsid w:val="009C7001"/>
    <w:rsid w:val="009C77A9"/>
    <w:rsid w:val="009D1C4F"/>
    <w:rsid w:val="009D324B"/>
    <w:rsid w:val="009D41DF"/>
    <w:rsid w:val="009D7254"/>
    <w:rsid w:val="009F30CF"/>
    <w:rsid w:val="00A002DC"/>
    <w:rsid w:val="00A03499"/>
    <w:rsid w:val="00A04344"/>
    <w:rsid w:val="00A1705C"/>
    <w:rsid w:val="00A2111D"/>
    <w:rsid w:val="00A2289A"/>
    <w:rsid w:val="00A229C5"/>
    <w:rsid w:val="00A236B6"/>
    <w:rsid w:val="00A30773"/>
    <w:rsid w:val="00A364B9"/>
    <w:rsid w:val="00A37C9F"/>
    <w:rsid w:val="00A4340A"/>
    <w:rsid w:val="00A52A83"/>
    <w:rsid w:val="00A56FA9"/>
    <w:rsid w:val="00A67509"/>
    <w:rsid w:val="00A67B51"/>
    <w:rsid w:val="00A67D58"/>
    <w:rsid w:val="00A73AE5"/>
    <w:rsid w:val="00A83AD0"/>
    <w:rsid w:val="00AA6159"/>
    <w:rsid w:val="00AA7B42"/>
    <w:rsid w:val="00AC3346"/>
    <w:rsid w:val="00AD0F11"/>
    <w:rsid w:val="00AF47A1"/>
    <w:rsid w:val="00B04DD4"/>
    <w:rsid w:val="00B07AC1"/>
    <w:rsid w:val="00B13D49"/>
    <w:rsid w:val="00B14A0C"/>
    <w:rsid w:val="00B22D97"/>
    <w:rsid w:val="00B27C7F"/>
    <w:rsid w:val="00B324A3"/>
    <w:rsid w:val="00B32EB0"/>
    <w:rsid w:val="00B44CE3"/>
    <w:rsid w:val="00B574A6"/>
    <w:rsid w:val="00B73337"/>
    <w:rsid w:val="00B74842"/>
    <w:rsid w:val="00B81224"/>
    <w:rsid w:val="00B815DD"/>
    <w:rsid w:val="00B97800"/>
    <w:rsid w:val="00BA1839"/>
    <w:rsid w:val="00BA4357"/>
    <w:rsid w:val="00BC0B63"/>
    <w:rsid w:val="00BC707A"/>
    <w:rsid w:val="00BD26A5"/>
    <w:rsid w:val="00BD3A8D"/>
    <w:rsid w:val="00BE1A96"/>
    <w:rsid w:val="00BE6306"/>
    <w:rsid w:val="00BE7108"/>
    <w:rsid w:val="00BF276E"/>
    <w:rsid w:val="00C036B7"/>
    <w:rsid w:val="00C0420F"/>
    <w:rsid w:val="00C05C07"/>
    <w:rsid w:val="00C11F0A"/>
    <w:rsid w:val="00C1617D"/>
    <w:rsid w:val="00C17A3B"/>
    <w:rsid w:val="00C21722"/>
    <w:rsid w:val="00C2325D"/>
    <w:rsid w:val="00C3520C"/>
    <w:rsid w:val="00C36D3A"/>
    <w:rsid w:val="00C47C48"/>
    <w:rsid w:val="00C5661C"/>
    <w:rsid w:val="00C64748"/>
    <w:rsid w:val="00C671DB"/>
    <w:rsid w:val="00C72075"/>
    <w:rsid w:val="00C82237"/>
    <w:rsid w:val="00C82531"/>
    <w:rsid w:val="00C8681F"/>
    <w:rsid w:val="00C932E8"/>
    <w:rsid w:val="00C943A6"/>
    <w:rsid w:val="00CA115C"/>
    <w:rsid w:val="00CC0D3F"/>
    <w:rsid w:val="00CC23D9"/>
    <w:rsid w:val="00CC6976"/>
    <w:rsid w:val="00CD159D"/>
    <w:rsid w:val="00CD22B6"/>
    <w:rsid w:val="00CE310F"/>
    <w:rsid w:val="00CE5844"/>
    <w:rsid w:val="00CF7012"/>
    <w:rsid w:val="00D0040F"/>
    <w:rsid w:val="00D040EA"/>
    <w:rsid w:val="00D168B4"/>
    <w:rsid w:val="00D17451"/>
    <w:rsid w:val="00D23242"/>
    <w:rsid w:val="00D24DE6"/>
    <w:rsid w:val="00D24FF0"/>
    <w:rsid w:val="00D26530"/>
    <w:rsid w:val="00D360D3"/>
    <w:rsid w:val="00D420BF"/>
    <w:rsid w:val="00D42360"/>
    <w:rsid w:val="00D4327E"/>
    <w:rsid w:val="00D47DE3"/>
    <w:rsid w:val="00D52C69"/>
    <w:rsid w:val="00D63966"/>
    <w:rsid w:val="00D65D37"/>
    <w:rsid w:val="00D818CF"/>
    <w:rsid w:val="00D8356A"/>
    <w:rsid w:val="00D87116"/>
    <w:rsid w:val="00D87201"/>
    <w:rsid w:val="00D905D1"/>
    <w:rsid w:val="00D9171B"/>
    <w:rsid w:val="00D93347"/>
    <w:rsid w:val="00DA0202"/>
    <w:rsid w:val="00DA2B01"/>
    <w:rsid w:val="00DB51D3"/>
    <w:rsid w:val="00DC32B9"/>
    <w:rsid w:val="00DC37FF"/>
    <w:rsid w:val="00DD3877"/>
    <w:rsid w:val="00DE1E1F"/>
    <w:rsid w:val="00DF5E36"/>
    <w:rsid w:val="00E0299F"/>
    <w:rsid w:val="00E0770D"/>
    <w:rsid w:val="00E10EB2"/>
    <w:rsid w:val="00E11313"/>
    <w:rsid w:val="00E30189"/>
    <w:rsid w:val="00E31ECC"/>
    <w:rsid w:val="00E324BF"/>
    <w:rsid w:val="00E33924"/>
    <w:rsid w:val="00E35A3C"/>
    <w:rsid w:val="00E36E01"/>
    <w:rsid w:val="00E406AE"/>
    <w:rsid w:val="00E43FCD"/>
    <w:rsid w:val="00E44BFE"/>
    <w:rsid w:val="00E4620F"/>
    <w:rsid w:val="00E46AD2"/>
    <w:rsid w:val="00E4733D"/>
    <w:rsid w:val="00E50A82"/>
    <w:rsid w:val="00E60A9C"/>
    <w:rsid w:val="00E66897"/>
    <w:rsid w:val="00E73C98"/>
    <w:rsid w:val="00E76DE4"/>
    <w:rsid w:val="00E84479"/>
    <w:rsid w:val="00E95EE0"/>
    <w:rsid w:val="00E96330"/>
    <w:rsid w:val="00E96EDE"/>
    <w:rsid w:val="00EC2823"/>
    <w:rsid w:val="00EC7A23"/>
    <w:rsid w:val="00ED511F"/>
    <w:rsid w:val="00ED5B42"/>
    <w:rsid w:val="00EF5666"/>
    <w:rsid w:val="00EF7950"/>
    <w:rsid w:val="00F1191B"/>
    <w:rsid w:val="00F123E2"/>
    <w:rsid w:val="00F23359"/>
    <w:rsid w:val="00F27441"/>
    <w:rsid w:val="00F32AFB"/>
    <w:rsid w:val="00F641EA"/>
    <w:rsid w:val="00F76165"/>
    <w:rsid w:val="00F828A7"/>
    <w:rsid w:val="00F8408A"/>
    <w:rsid w:val="00F9432B"/>
    <w:rsid w:val="00F95669"/>
    <w:rsid w:val="00F9606F"/>
    <w:rsid w:val="00FA2397"/>
    <w:rsid w:val="00FC0813"/>
    <w:rsid w:val="00FC31CC"/>
    <w:rsid w:val="00FC3977"/>
    <w:rsid w:val="00FD0B17"/>
    <w:rsid w:val="00FE451A"/>
    <w:rsid w:val="00FE5827"/>
    <w:rsid w:val="00FF7099"/>
    <w:rsid w:val="00FF7538"/>
    <w:rsid w:val="010B22B0"/>
    <w:rsid w:val="010F48F2"/>
    <w:rsid w:val="011253ED"/>
    <w:rsid w:val="01161381"/>
    <w:rsid w:val="01166364"/>
    <w:rsid w:val="01170C55"/>
    <w:rsid w:val="01172A03"/>
    <w:rsid w:val="01205D5C"/>
    <w:rsid w:val="012375FA"/>
    <w:rsid w:val="0125490F"/>
    <w:rsid w:val="0127533C"/>
    <w:rsid w:val="012C1DB7"/>
    <w:rsid w:val="01347A59"/>
    <w:rsid w:val="013E61E2"/>
    <w:rsid w:val="014541E2"/>
    <w:rsid w:val="014557C2"/>
    <w:rsid w:val="014632E9"/>
    <w:rsid w:val="014852B3"/>
    <w:rsid w:val="014C06F1"/>
    <w:rsid w:val="014C6B51"/>
    <w:rsid w:val="015122A6"/>
    <w:rsid w:val="01580C56"/>
    <w:rsid w:val="015B3238"/>
    <w:rsid w:val="015B4A06"/>
    <w:rsid w:val="015E6884"/>
    <w:rsid w:val="016245C6"/>
    <w:rsid w:val="016320EC"/>
    <w:rsid w:val="01632CD8"/>
    <w:rsid w:val="01635C49"/>
    <w:rsid w:val="016519C1"/>
    <w:rsid w:val="01687703"/>
    <w:rsid w:val="016A347B"/>
    <w:rsid w:val="016A5229"/>
    <w:rsid w:val="01722330"/>
    <w:rsid w:val="017442FA"/>
    <w:rsid w:val="017B7436"/>
    <w:rsid w:val="01803FF7"/>
    <w:rsid w:val="018207C5"/>
    <w:rsid w:val="018E7169"/>
    <w:rsid w:val="01910DE7"/>
    <w:rsid w:val="01916C5A"/>
    <w:rsid w:val="019B2F5B"/>
    <w:rsid w:val="019D73AC"/>
    <w:rsid w:val="01A06E9D"/>
    <w:rsid w:val="01AC5842"/>
    <w:rsid w:val="01B12E58"/>
    <w:rsid w:val="01B14C06"/>
    <w:rsid w:val="01B42948"/>
    <w:rsid w:val="01B91D0C"/>
    <w:rsid w:val="01BD35AB"/>
    <w:rsid w:val="01C0309B"/>
    <w:rsid w:val="01C81F50"/>
    <w:rsid w:val="01D86637"/>
    <w:rsid w:val="01D9415D"/>
    <w:rsid w:val="01DD3C4D"/>
    <w:rsid w:val="01E023C1"/>
    <w:rsid w:val="01E054EB"/>
    <w:rsid w:val="01E23011"/>
    <w:rsid w:val="01EB6E21"/>
    <w:rsid w:val="01EF572E"/>
    <w:rsid w:val="01F4371A"/>
    <w:rsid w:val="01FB2325"/>
    <w:rsid w:val="01FF1E15"/>
    <w:rsid w:val="0204742C"/>
    <w:rsid w:val="02056D00"/>
    <w:rsid w:val="021138F7"/>
    <w:rsid w:val="021424C8"/>
    <w:rsid w:val="0216715F"/>
    <w:rsid w:val="021F4265"/>
    <w:rsid w:val="02221AC1"/>
    <w:rsid w:val="02247ACE"/>
    <w:rsid w:val="0227311A"/>
    <w:rsid w:val="022A49B8"/>
    <w:rsid w:val="02380E83"/>
    <w:rsid w:val="023F2212"/>
    <w:rsid w:val="0241242E"/>
    <w:rsid w:val="0242796A"/>
    <w:rsid w:val="02443CCC"/>
    <w:rsid w:val="02445A7A"/>
    <w:rsid w:val="024535A0"/>
    <w:rsid w:val="02473B40"/>
    <w:rsid w:val="0247556A"/>
    <w:rsid w:val="02496521"/>
    <w:rsid w:val="024E06A7"/>
    <w:rsid w:val="025008C3"/>
    <w:rsid w:val="02535CBD"/>
    <w:rsid w:val="025F1844"/>
    <w:rsid w:val="02641C78"/>
    <w:rsid w:val="026779BA"/>
    <w:rsid w:val="02693733"/>
    <w:rsid w:val="02777BFD"/>
    <w:rsid w:val="027D71DE"/>
    <w:rsid w:val="028247F4"/>
    <w:rsid w:val="02832A46"/>
    <w:rsid w:val="02883D22"/>
    <w:rsid w:val="028C11CF"/>
    <w:rsid w:val="029A7D90"/>
    <w:rsid w:val="029C7664"/>
    <w:rsid w:val="02A1111E"/>
    <w:rsid w:val="02A214AF"/>
    <w:rsid w:val="02A91D81"/>
    <w:rsid w:val="02A93B2F"/>
    <w:rsid w:val="02AB5AF9"/>
    <w:rsid w:val="02AD7AC3"/>
    <w:rsid w:val="02B7624C"/>
    <w:rsid w:val="02BA6496"/>
    <w:rsid w:val="02C1531D"/>
    <w:rsid w:val="02C24BF1"/>
    <w:rsid w:val="02C32E43"/>
    <w:rsid w:val="02C92423"/>
    <w:rsid w:val="02C95F7F"/>
    <w:rsid w:val="02CB1CF7"/>
    <w:rsid w:val="02CD3CC1"/>
    <w:rsid w:val="02CF7A3A"/>
    <w:rsid w:val="02D202C2"/>
    <w:rsid w:val="02D84414"/>
    <w:rsid w:val="02D908B8"/>
    <w:rsid w:val="02DA4630"/>
    <w:rsid w:val="02E501FA"/>
    <w:rsid w:val="02ED7EC0"/>
    <w:rsid w:val="02F0175E"/>
    <w:rsid w:val="02F2136E"/>
    <w:rsid w:val="02F4511E"/>
    <w:rsid w:val="02F53218"/>
    <w:rsid w:val="02F54FC6"/>
    <w:rsid w:val="02F56D74"/>
    <w:rsid w:val="02F65D83"/>
    <w:rsid w:val="03004097"/>
    <w:rsid w:val="03011BBD"/>
    <w:rsid w:val="0301396B"/>
    <w:rsid w:val="03084CFA"/>
    <w:rsid w:val="030D0562"/>
    <w:rsid w:val="03190CB5"/>
    <w:rsid w:val="031F2043"/>
    <w:rsid w:val="0321400D"/>
    <w:rsid w:val="03215DBB"/>
    <w:rsid w:val="032A0501"/>
    <w:rsid w:val="032C4E8C"/>
    <w:rsid w:val="033124A2"/>
    <w:rsid w:val="03361CBA"/>
    <w:rsid w:val="03373831"/>
    <w:rsid w:val="033F0AF8"/>
    <w:rsid w:val="03404493"/>
    <w:rsid w:val="03415C1D"/>
    <w:rsid w:val="03435A22"/>
    <w:rsid w:val="03443777"/>
    <w:rsid w:val="034A5312"/>
    <w:rsid w:val="034A70C0"/>
    <w:rsid w:val="034E3158"/>
    <w:rsid w:val="034E766E"/>
    <w:rsid w:val="035E0DBD"/>
    <w:rsid w:val="03634626"/>
    <w:rsid w:val="036B5288"/>
    <w:rsid w:val="036C34DA"/>
    <w:rsid w:val="03726617"/>
    <w:rsid w:val="03764359"/>
    <w:rsid w:val="03767EB5"/>
    <w:rsid w:val="03772173"/>
    <w:rsid w:val="037800D1"/>
    <w:rsid w:val="037E4FBC"/>
    <w:rsid w:val="03806F86"/>
    <w:rsid w:val="038A570F"/>
    <w:rsid w:val="03906A9D"/>
    <w:rsid w:val="039147BE"/>
    <w:rsid w:val="039667A9"/>
    <w:rsid w:val="03977E2B"/>
    <w:rsid w:val="039D7B38"/>
    <w:rsid w:val="039E565E"/>
    <w:rsid w:val="03A34A22"/>
    <w:rsid w:val="03A569EC"/>
    <w:rsid w:val="03A82039"/>
    <w:rsid w:val="03AF1619"/>
    <w:rsid w:val="03AF786B"/>
    <w:rsid w:val="03B46C2F"/>
    <w:rsid w:val="03B6548B"/>
    <w:rsid w:val="03B92034"/>
    <w:rsid w:val="03C1347A"/>
    <w:rsid w:val="03C2759E"/>
    <w:rsid w:val="03C50E3C"/>
    <w:rsid w:val="03CA0201"/>
    <w:rsid w:val="03D1333D"/>
    <w:rsid w:val="03DB41BC"/>
    <w:rsid w:val="03E07A24"/>
    <w:rsid w:val="03E272F9"/>
    <w:rsid w:val="03E5328D"/>
    <w:rsid w:val="03EE2141"/>
    <w:rsid w:val="03EF5EB9"/>
    <w:rsid w:val="03F96969"/>
    <w:rsid w:val="03FB660C"/>
    <w:rsid w:val="0409766A"/>
    <w:rsid w:val="040A684F"/>
    <w:rsid w:val="040E6340"/>
    <w:rsid w:val="04115E30"/>
    <w:rsid w:val="04155920"/>
    <w:rsid w:val="041651F4"/>
    <w:rsid w:val="041A1188"/>
    <w:rsid w:val="041C0406"/>
    <w:rsid w:val="04212517"/>
    <w:rsid w:val="04275653"/>
    <w:rsid w:val="042F4508"/>
    <w:rsid w:val="04310280"/>
    <w:rsid w:val="04335DA6"/>
    <w:rsid w:val="043438CC"/>
    <w:rsid w:val="043B2EAD"/>
    <w:rsid w:val="04461F7D"/>
    <w:rsid w:val="04473600"/>
    <w:rsid w:val="04497378"/>
    <w:rsid w:val="044C50BA"/>
    <w:rsid w:val="04510922"/>
    <w:rsid w:val="04583A5F"/>
    <w:rsid w:val="045D1075"/>
    <w:rsid w:val="04695C6C"/>
    <w:rsid w:val="04724347"/>
    <w:rsid w:val="04731AB5"/>
    <w:rsid w:val="047A5783"/>
    <w:rsid w:val="04846283"/>
    <w:rsid w:val="04846602"/>
    <w:rsid w:val="04877EA0"/>
    <w:rsid w:val="04893C18"/>
    <w:rsid w:val="048B5BE2"/>
    <w:rsid w:val="048C54B6"/>
    <w:rsid w:val="04916985"/>
    <w:rsid w:val="04926F71"/>
    <w:rsid w:val="049525BD"/>
    <w:rsid w:val="049868E8"/>
    <w:rsid w:val="04A22F2C"/>
    <w:rsid w:val="04A96068"/>
    <w:rsid w:val="04AC7907"/>
    <w:rsid w:val="04B334F0"/>
    <w:rsid w:val="04B672FF"/>
    <w:rsid w:val="04B70785"/>
    <w:rsid w:val="04B844FD"/>
    <w:rsid w:val="04BA3FA6"/>
    <w:rsid w:val="04BA4312"/>
    <w:rsid w:val="04BD1B14"/>
    <w:rsid w:val="04BF3ADE"/>
    <w:rsid w:val="04C01130"/>
    <w:rsid w:val="04C17856"/>
    <w:rsid w:val="04C32FE5"/>
    <w:rsid w:val="04C66C1A"/>
    <w:rsid w:val="04CC1D57"/>
    <w:rsid w:val="04D1736D"/>
    <w:rsid w:val="04D31337"/>
    <w:rsid w:val="04D53301"/>
    <w:rsid w:val="04DD3F64"/>
    <w:rsid w:val="04E15802"/>
    <w:rsid w:val="04E92909"/>
    <w:rsid w:val="04F01EE9"/>
    <w:rsid w:val="05015B58"/>
    <w:rsid w:val="05087233"/>
    <w:rsid w:val="050B6D23"/>
    <w:rsid w:val="051C173D"/>
    <w:rsid w:val="051E0804"/>
    <w:rsid w:val="051F79A0"/>
    <w:rsid w:val="0526590B"/>
    <w:rsid w:val="05266D56"/>
    <w:rsid w:val="05281683"/>
    <w:rsid w:val="052A53FB"/>
    <w:rsid w:val="052B1173"/>
    <w:rsid w:val="052C1F57"/>
    <w:rsid w:val="05322502"/>
    <w:rsid w:val="053242B0"/>
    <w:rsid w:val="05377B18"/>
    <w:rsid w:val="053A13B6"/>
    <w:rsid w:val="053C3236"/>
    <w:rsid w:val="05403FC4"/>
    <w:rsid w:val="0546428C"/>
    <w:rsid w:val="05480F80"/>
    <w:rsid w:val="054933A7"/>
    <w:rsid w:val="054C00A5"/>
    <w:rsid w:val="054F6C10"/>
    <w:rsid w:val="05504736"/>
    <w:rsid w:val="055E6E53"/>
    <w:rsid w:val="056964A8"/>
    <w:rsid w:val="056F2E0E"/>
    <w:rsid w:val="057C19CF"/>
    <w:rsid w:val="057E74F5"/>
    <w:rsid w:val="05810D93"/>
    <w:rsid w:val="0584418A"/>
    <w:rsid w:val="058645FB"/>
    <w:rsid w:val="058A7C48"/>
    <w:rsid w:val="058C7E64"/>
    <w:rsid w:val="05A351AD"/>
    <w:rsid w:val="05A52CD4"/>
    <w:rsid w:val="05A54A82"/>
    <w:rsid w:val="05AC22B4"/>
    <w:rsid w:val="05AD3936"/>
    <w:rsid w:val="05AF76AE"/>
    <w:rsid w:val="05B11678"/>
    <w:rsid w:val="05B57DF5"/>
    <w:rsid w:val="05BD626F"/>
    <w:rsid w:val="05BE5B43"/>
    <w:rsid w:val="05C23886"/>
    <w:rsid w:val="05C6318B"/>
    <w:rsid w:val="05CB200E"/>
    <w:rsid w:val="05CE5343"/>
    <w:rsid w:val="05CF1AFF"/>
    <w:rsid w:val="05CF7D50"/>
    <w:rsid w:val="05D67331"/>
    <w:rsid w:val="05DE7F94"/>
    <w:rsid w:val="05E30CAA"/>
    <w:rsid w:val="05E7509A"/>
    <w:rsid w:val="05F41565"/>
    <w:rsid w:val="06020126"/>
    <w:rsid w:val="060519C4"/>
    <w:rsid w:val="06093262"/>
    <w:rsid w:val="060D7C05"/>
    <w:rsid w:val="060E4E66"/>
    <w:rsid w:val="060E6ACB"/>
    <w:rsid w:val="06112117"/>
    <w:rsid w:val="06222576"/>
    <w:rsid w:val="06231E4A"/>
    <w:rsid w:val="0627193B"/>
    <w:rsid w:val="062A4F87"/>
    <w:rsid w:val="062C6F51"/>
    <w:rsid w:val="06314567"/>
    <w:rsid w:val="063302DF"/>
    <w:rsid w:val="06450692"/>
    <w:rsid w:val="06471FDD"/>
    <w:rsid w:val="06475B39"/>
    <w:rsid w:val="06502589"/>
    <w:rsid w:val="06532730"/>
    <w:rsid w:val="065344DE"/>
    <w:rsid w:val="065A3ABE"/>
    <w:rsid w:val="065D535C"/>
    <w:rsid w:val="0661309E"/>
    <w:rsid w:val="06620BC5"/>
    <w:rsid w:val="06624721"/>
    <w:rsid w:val="0662756F"/>
    <w:rsid w:val="06640499"/>
    <w:rsid w:val="06643F82"/>
    <w:rsid w:val="0665331F"/>
    <w:rsid w:val="066E322F"/>
    <w:rsid w:val="066F6E3E"/>
    <w:rsid w:val="067032E2"/>
    <w:rsid w:val="0671705A"/>
    <w:rsid w:val="06782196"/>
    <w:rsid w:val="067E3933"/>
    <w:rsid w:val="06806B7F"/>
    <w:rsid w:val="068A6AA3"/>
    <w:rsid w:val="06A0349B"/>
    <w:rsid w:val="06A05249"/>
    <w:rsid w:val="06A27213"/>
    <w:rsid w:val="06A411DD"/>
    <w:rsid w:val="06B31420"/>
    <w:rsid w:val="06B34F7C"/>
    <w:rsid w:val="06B55198"/>
    <w:rsid w:val="06B70F10"/>
    <w:rsid w:val="06C05392"/>
    <w:rsid w:val="06C07699"/>
    <w:rsid w:val="06C4362D"/>
    <w:rsid w:val="06CE625A"/>
    <w:rsid w:val="06D849E3"/>
    <w:rsid w:val="06DC2725"/>
    <w:rsid w:val="06E96BF0"/>
    <w:rsid w:val="06EA3AE8"/>
    <w:rsid w:val="06EE06AA"/>
    <w:rsid w:val="06F061D0"/>
    <w:rsid w:val="06F14C43"/>
    <w:rsid w:val="06F15928"/>
    <w:rsid w:val="06F23CF7"/>
    <w:rsid w:val="06F51A39"/>
    <w:rsid w:val="06F86E33"/>
    <w:rsid w:val="06FC4B75"/>
    <w:rsid w:val="070677A2"/>
    <w:rsid w:val="070954E4"/>
    <w:rsid w:val="070B300A"/>
    <w:rsid w:val="070B6B66"/>
    <w:rsid w:val="070D6D82"/>
    <w:rsid w:val="070E2AFA"/>
    <w:rsid w:val="07133305"/>
    <w:rsid w:val="07140111"/>
    <w:rsid w:val="071579E5"/>
    <w:rsid w:val="07177C01"/>
    <w:rsid w:val="071A149F"/>
    <w:rsid w:val="071A324D"/>
    <w:rsid w:val="071C7D8B"/>
    <w:rsid w:val="071D4AEC"/>
    <w:rsid w:val="071F6AB6"/>
    <w:rsid w:val="072440CC"/>
    <w:rsid w:val="07287718"/>
    <w:rsid w:val="072C71F1"/>
    <w:rsid w:val="0736255C"/>
    <w:rsid w:val="07487DBA"/>
    <w:rsid w:val="0749768F"/>
    <w:rsid w:val="074A3B33"/>
    <w:rsid w:val="074F1149"/>
    <w:rsid w:val="0751332D"/>
    <w:rsid w:val="0754675F"/>
    <w:rsid w:val="07677B15"/>
    <w:rsid w:val="07697D31"/>
    <w:rsid w:val="076B5857"/>
    <w:rsid w:val="076D5A73"/>
    <w:rsid w:val="07702E6D"/>
    <w:rsid w:val="0770567D"/>
    <w:rsid w:val="07706DBE"/>
    <w:rsid w:val="07754928"/>
    <w:rsid w:val="077C1812"/>
    <w:rsid w:val="077C5CB6"/>
    <w:rsid w:val="0781507A"/>
    <w:rsid w:val="078359ED"/>
    <w:rsid w:val="07871B09"/>
    <w:rsid w:val="07893F2F"/>
    <w:rsid w:val="078D7EC3"/>
    <w:rsid w:val="079052BE"/>
    <w:rsid w:val="07921036"/>
    <w:rsid w:val="079275D3"/>
    <w:rsid w:val="07983EDE"/>
    <w:rsid w:val="079A613C"/>
    <w:rsid w:val="079B5DEA"/>
    <w:rsid w:val="07A50D69"/>
    <w:rsid w:val="07A63040"/>
    <w:rsid w:val="07B05960"/>
    <w:rsid w:val="07B23486"/>
    <w:rsid w:val="07B40FAC"/>
    <w:rsid w:val="07BC4DD3"/>
    <w:rsid w:val="07BE1E2B"/>
    <w:rsid w:val="07C35693"/>
    <w:rsid w:val="07C80EFB"/>
    <w:rsid w:val="07DA3804"/>
    <w:rsid w:val="07E15B19"/>
    <w:rsid w:val="07E51AAD"/>
    <w:rsid w:val="07E5385B"/>
    <w:rsid w:val="07E777CC"/>
    <w:rsid w:val="07EC2E3C"/>
    <w:rsid w:val="07EC4BEA"/>
    <w:rsid w:val="07ED0962"/>
    <w:rsid w:val="07F12200"/>
    <w:rsid w:val="07F7533D"/>
    <w:rsid w:val="07F817E1"/>
    <w:rsid w:val="07FC0BA5"/>
    <w:rsid w:val="07FC2953"/>
    <w:rsid w:val="07FE5178"/>
    <w:rsid w:val="080041F1"/>
    <w:rsid w:val="0808579C"/>
    <w:rsid w:val="080B0CD3"/>
    <w:rsid w:val="081163FE"/>
    <w:rsid w:val="081303C8"/>
    <w:rsid w:val="08147801"/>
    <w:rsid w:val="08183C31"/>
    <w:rsid w:val="082108D7"/>
    <w:rsid w:val="08234384"/>
    <w:rsid w:val="082425D6"/>
    <w:rsid w:val="08253C58"/>
    <w:rsid w:val="0825634E"/>
    <w:rsid w:val="082B0EC0"/>
    <w:rsid w:val="082C4FE6"/>
    <w:rsid w:val="082F2D28"/>
    <w:rsid w:val="083B2874"/>
    <w:rsid w:val="083E7B6A"/>
    <w:rsid w:val="08444A26"/>
    <w:rsid w:val="08456031"/>
    <w:rsid w:val="08493DEA"/>
    <w:rsid w:val="08517143"/>
    <w:rsid w:val="08597DA5"/>
    <w:rsid w:val="08683AA7"/>
    <w:rsid w:val="086850AC"/>
    <w:rsid w:val="087552AA"/>
    <w:rsid w:val="087D1CE6"/>
    <w:rsid w:val="088017D6"/>
    <w:rsid w:val="08836BD0"/>
    <w:rsid w:val="08843074"/>
    <w:rsid w:val="08844E22"/>
    <w:rsid w:val="08852948"/>
    <w:rsid w:val="08867DD7"/>
    <w:rsid w:val="0889727B"/>
    <w:rsid w:val="089321BD"/>
    <w:rsid w:val="08962DA7"/>
    <w:rsid w:val="089D5EE4"/>
    <w:rsid w:val="08A059D4"/>
    <w:rsid w:val="08A22311"/>
    <w:rsid w:val="08A41020"/>
    <w:rsid w:val="08AA1318"/>
    <w:rsid w:val="08AE1E9F"/>
    <w:rsid w:val="08B1373D"/>
    <w:rsid w:val="08B446D3"/>
    <w:rsid w:val="08BD0334"/>
    <w:rsid w:val="08BD6586"/>
    <w:rsid w:val="08C43471"/>
    <w:rsid w:val="08C47915"/>
    <w:rsid w:val="08C571E9"/>
    <w:rsid w:val="08C6543B"/>
    <w:rsid w:val="08CE0793"/>
    <w:rsid w:val="08CE49CC"/>
    <w:rsid w:val="08CF1E16"/>
    <w:rsid w:val="08D12032"/>
    <w:rsid w:val="08D538D0"/>
    <w:rsid w:val="08DB6A0C"/>
    <w:rsid w:val="08DD4532"/>
    <w:rsid w:val="08E40179"/>
    <w:rsid w:val="08E51639"/>
    <w:rsid w:val="08E92BD4"/>
    <w:rsid w:val="08EC0C19"/>
    <w:rsid w:val="08EE6740"/>
    <w:rsid w:val="08F55D20"/>
    <w:rsid w:val="08FA50E4"/>
    <w:rsid w:val="08FC70AE"/>
    <w:rsid w:val="09016473"/>
    <w:rsid w:val="0902043D"/>
    <w:rsid w:val="09023F99"/>
    <w:rsid w:val="09027603"/>
    <w:rsid w:val="09055F84"/>
    <w:rsid w:val="09075A53"/>
    <w:rsid w:val="09077801"/>
    <w:rsid w:val="09093579"/>
    <w:rsid w:val="090B10A0"/>
    <w:rsid w:val="09187C60"/>
    <w:rsid w:val="09242161"/>
    <w:rsid w:val="092D3FDF"/>
    <w:rsid w:val="092F6E09"/>
    <w:rsid w:val="09376339"/>
    <w:rsid w:val="09376A22"/>
    <w:rsid w:val="094648A7"/>
    <w:rsid w:val="094E5430"/>
    <w:rsid w:val="095742E5"/>
    <w:rsid w:val="095E1B17"/>
    <w:rsid w:val="095E38C5"/>
    <w:rsid w:val="095F7874"/>
    <w:rsid w:val="097148FC"/>
    <w:rsid w:val="09735A94"/>
    <w:rsid w:val="097F1A8E"/>
    <w:rsid w:val="09815C56"/>
    <w:rsid w:val="098D5F59"/>
    <w:rsid w:val="099512B1"/>
    <w:rsid w:val="099A2423"/>
    <w:rsid w:val="099A32D4"/>
    <w:rsid w:val="099B68C7"/>
    <w:rsid w:val="09A339CE"/>
    <w:rsid w:val="09A3577C"/>
    <w:rsid w:val="09A82D92"/>
    <w:rsid w:val="09A908B8"/>
    <w:rsid w:val="09AB4631"/>
    <w:rsid w:val="09AD65FB"/>
    <w:rsid w:val="09BB1DB2"/>
    <w:rsid w:val="09C0632E"/>
    <w:rsid w:val="09C120A6"/>
    <w:rsid w:val="09C556F2"/>
    <w:rsid w:val="09C91966"/>
    <w:rsid w:val="09D04097"/>
    <w:rsid w:val="09D21BBD"/>
    <w:rsid w:val="09D4008F"/>
    <w:rsid w:val="09D43B87"/>
    <w:rsid w:val="09D92F4C"/>
    <w:rsid w:val="09DB4F16"/>
    <w:rsid w:val="09EF09C1"/>
    <w:rsid w:val="09F2225F"/>
    <w:rsid w:val="09F4422A"/>
    <w:rsid w:val="09F63AFE"/>
    <w:rsid w:val="09F751D7"/>
    <w:rsid w:val="09FB1114"/>
    <w:rsid w:val="0A0228C1"/>
    <w:rsid w:val="0A1500F3"/>
    <w:rsid w:val="0A1C2382"/>
    <w:rsid w:val="0A1C53F5"/>
    <w:rsid w:val="0A1C72DC"/>
    <w:rsid w:val="0A1E12A6"/>
    <w:rsid w:val="0A206DCD"/>
    <w:rsid w:val="0A27015B"/>
    <w:rsid w:val="0A283ED3"/>
    <w:rsid w:val="0A2C5771"/>
    <w:rsid w:val="0A2E773B"/>
    <w:rsid w:val="0A38246B"/>
    <w:rsid w:val="0A3B3C06"/>
    <w:rsid w:val="0A3D797F"/>
    <w:rsid w:val="0A432ABB"/>
    <w:rsid w:val="0A4612B2"/>
    <w:rsid w:val="0A544CC8"/>
    <w:rsid w:val="0A570314"/>
    <w:rsid w:val="0A5847B8"/>
    <w:rsid w:val="0A5B6057"/>
    <w:rsid w:val="0A5C2888"/>
    <w:rsid w:val="0A5F5B47"/>
    <w:rsid w:val="0A60541B"/>
    <w:rsid w:val="0A622F41"/>
    <w:rsid w:val="0A634F0B"/>
    <w:rsid w:val="0A64315D"/>
    <w:rsid w:val="0A650C83"/>
    <w:rsid w:val="0A6839FC"/>
    <w:rsid w:val="0A693642"/>
    <w:rsid w:val="0A7333A0"/>
    <w:rsid w:val="0A7809B7"/>
    <w:rsid w:val="0A7B4003"/>
    <w:rsid w:val="0A7B78D0"/>
    <w:rsid w:val="0A801C83"/>
    <w:rsid w:val="0A8A2498"/>
    <w:rsid w:val="0A8C7FBE"/>
    <w:rsid w:val="0A8F5D00"/>
    <w:rsid w:val="0A956499"/>
    <w:rsid w:val="0A9652E1"/>
    <w:rsid w:val="0A99092D"/>
    <w:rsid w:val="0A9F4195"/>
    <w:rsid w:val="0AA01CBB"/>
    <w:rsid w:val="0AA7129C"/>
    <w:rsid w:val="0AA862BE"/>
    <w:rsid w:val="0AAE6186"/>
    <w:rsid w:val="0AB063A2"/>
    <w:rsid w:val="0AC10D82"/>
    <w:rsid w:val="0AC534D0"/>
    <w:rsid w:val="0ACA1BD8"/>
    <w:rsid w:val="0ACB5B1C"/>
    <w:rsid w:val="0ACC2AB1"/>
    <w:rsid w:val="0ACE05D7"/>
    <w:rsid w:val="0AD12D78"/>
    <w:rsid w:val="0AD51CC6"/>
    <w:rsid w:val="0AE147AE"/>
    <w:rsid w:val="0AE47DFA"/>
    <w:rsid w:val="0AE778EA"/>
    <w:rsid w:val="0AEF054D"/>
    <w:rsid w:val="0AF02C43"/>
    <w:rsid w:val="0AF65D7F"/>
    <w:rsid w:val="0AF67B2D"/>
    <w:rsid w:val="0B022976"/>
    <w:rsid w:val="0B061670"/>
    <w:rsid w:val="0B097861"/>
    <w:rsid w:val="0B0A5387"/>
    <w:rsid w:val="0B0C10FF"/>
    <w:rsid w:val="0B100BEF"/>
    <w:rsid w:val="0B124DD9"/>
    <w:rsid w:val="0B154457"/>
    <w:rsid w:val="0B1B7594"/>
    <w:rsid w:val="0B1C57E6"/>
    <w:rsid w:val="0B2017A7"/>
    <w:rsid w:val="0B276013"/>
    <w:rsid w:val="0B2B3C7B"/>
    <w:rsid w:val="0B2C354F"/>
    <w:rsid w:val="0B301291"/>
    <w:rsid w:val="0B304DED"/>
    <w:rsid w:val="0B3348DE"/>
    <w:rsid w:val="0B353EBE"/>
    <w:rsid w:val="0B386398"/>
    <w:rsid w:val="0B3A2110"/>
    <w:rsid w:val="0B400813"/>
    <w:rsid w:val="0B470389"/>
    <w:rsid w:val="0B4765DB"/>
    <w:rsid w:val="0B48482D"/>
    <w:rsid w:val="0B494101"/>
    <w:rsid w:val="0B4D7D2D"/>
    <w:rsid w:val="0B4E34C6"/>
    <w:rsid w:val="0B4E7969"/>
    <w:rsid w:val="0B5036E2"/>
    <w:rsid w:val="0B545498"/>
    <w:rsid w:val="0B5605CC"/>
    <w:rsid w:val="0B5D046A"/>
    <w:rsid w:val="0B5E5DFE"/>
    <w:rsid w:val="0B5F3925"/>
    <w:rsid w:val="0B61769D"/>
    <w:rsid w:val="0B662F05"/>
    <w:rsid w:val="0B6D7317"/>
    <w:rsid w:val="0B6E1DBA"/>
    <w:rsid w:val="0B720E7E"/>
    <w:rsid w:val="0B8033F4"/>
    <w:rsid w:val="0B811AED"/>
    <w:rsid w:val="0B8213C1"/>
    <w:rsid w:val="0B8379B8"/>
    <w:rsid w:val="0B860EB1"/>
    <w:rsid w:val="0B8909A2"/>
    <w:rsid w:val="0B964496"/>
    <w:rsid w:val="0B9C06D5"/>
    <w:rsid w:val="0B9C6927"/>
    <w:rsid w:val="0B9D61FB"/>
    <w:rsid w:val="0B9E1294"/>
    <w:rsid w:val="0BA47589"/>
    <w:rsid w:val="0BAD643E"/>
    <w:rsid w:val="0BBE689D"/>
    <w:rsid w:val="0BC91616"/>
    <w:rsid w:val="0BCB4B16"/>
    <w:rsid w:val="0BCE4606"/>
    <w:rsid w:val="0BD0037E"/>
    <w:rsid w:val="0BD065D0"/>
    <w:rsid w:val="0BD31C1D"/>
    <w:rsid w:val="0BDA2FAB"/>
    <w:rsid w:val="0BDC4F75"/>
    <w:rsid w:val="0BE36304"/>
    <w:rsid w:val="0BE45BD8"/>
    <w:rsid w:val="0BE8391A"/>
    <w:rsid w:val="0BF027CF"/>
    <w:rsid w:val="0BF4406D"/>
    <w:rsid w:val="0BF73B5D"/>
    <w:rsid w:val="0BFB7BB9"/>
    <w:rsid w:val="0BFE6C9A"/>
    <w:rsid w:val="0C012C2E"/>
    <w:rsid w:val="0C0369A6"/>
    <w:rsid w:val="0C063DA0"/>
    <w:rsid w:val="0C087B18"/>
    <w:rsid w:val="0C0A1AE2"/>
    <w:rsid w:val="0C0A7D34"/>
    <w:rsid w:val="0C0B13B7"/>
    <w:rsid w:val="0C0F6320"/>
    <w:rsid w:val="0C1351C2"/>
    <w:rsid w:val="0C152235"/>
    <w:rsid w:val="0C165A3C"/>
    <w:rsid w:val="0C1B3CF0"/>
    <w:rsid w:val="0C1C7A68"/>
    <w:rsid w:val="0C2671FD"/>
    <w:rsid w:val="0C270D1D"/>
    <w:rsid w:val="0C2801BA"/>
    <w:rsid w:val="0C2B3807"/>
    <w:rsid w:val="0C300E1D"/>
    <w:rsid w:val="0C3923C8"/>
    <w:rsid w:val="0C3B6140"/>
    <w:rsid w:val="0C434FF4"/>
    <w:rsid w:val="0C474AE5"/>
    <w:rsid w:val="0C480B20"/>
    <w:rsid w:val="0C50326D"/>
    <w:rsid w:val="0C540FAF"/>
    <w:rsid w:val="0C5965C6"/>
    <w:rsid w:val="0C5C35DE"/>
    <w:rsid w:val="0C5D60B6"/>
    <w:rsid w:val="0C637445"/>
    <w:rsid w:val="0C6645C1"/>
    <w:rsid w:val="0C692CAD"/>
    <w:rsid w:val="0C6C454B"/>
    <w:rsid w:val="0C6D4563"/>
    <w:rsid w:val="0C757885"/>
    <w:rsid w:val="0C771B72"/>
    <w:rsid w:val="0C8129D9"/>
    <w:rsid w:val="0C851169"/>
    <w:rsid w:val="0C8A2C23"/>
    <w:rsid w:val="0C923886"/>
    <w:rsid w:val="0C9413AC"/>
    <w:rsid w:val="0C9615C8"/>
    <w:rsid w:val="0C9E222B"/>
    <w:rsid w:val="0CA912FB"/>
    <w:rsid w:val="0CAC0DEC"/>
    <w:rsid w:val="0CAF61E6"/>
    <w:rsid w:val="0CB70557"/>
    <w:rsid w:val="0CB952B6"/>
    <w:rsid w:val="0CBD6881"/>
    <w:rsid w:val="0CBE467B"/>
    <w:rsid w:val="0CC2416B"/>
    <w:rsid w:val="0CC71781"/>
    <w:rsid w:val="0CC7352F"/>
    <w:rsid w:val="0CCA0F1D"/>
    <w:rsid w:val="0CCA1272"/>
    <w:rsid w:val="0CCC472A"/>
    <w:rsid w:val="0CD555CF"/>
    <w:rsid w:val="0CD619C5"/>
    <w:rsid w:val="0CD8398F"/>
    <w:rsid w:val="0CDF4D1D"/>
    <w:rsid w:val="0CE560AB"/>
    <w:rsid w:val="0CF167FE"/>
    <w:rsid w:val="0CF462EF"/>
    <w:rsid w:val="0CF54541"/>
    <w:rsid w:val="0CFD1647"/>
    <w:rsid w:val="0CFE2CC9"/>
    <w:rsid w:val="0D006A41"/>
    <w:rsid w:val="0D0227BA"/>
    <w:rsid w:val="0D0429D6"/>
    <w:rsid w:val="0D091D9A"/>
    <w:rsid w:val="0D093B48"/>
    <w:rsid w:val="0D2B7F62"/>
    <w:rsid w:val="0D305579"/>
    <w:rsid w:val="0D350DE1"/>
    <w:rsid w:val="0D3606B5"/>
    <w:rsid w:val="0D38267F"/>
    <w:rsid w:val="0D3A63F7"/>
    <w:rsid w:val="0D3C216F"/>
    <w:rsid w:val="0D441024"/>
    <w:rsid w:val="0D466B4A"/>
    <w:rsid w:val="0D471FD0"/>
    <w:rsid w:val="0D474670"/>
    <w:rsid w:val="0D4B23B2"/>
    <w:rsid w:val="0D4C612B"/>
    <w:rsid w:val="0D4E3C51"/>
    <w:rsid w:val="0D533DAA"/>
    <w:rsid w:val="0D550956"/>
    <w:rsid w:val="0D554713"/>
    <w:rsid w:val="0D5A0848"/>
    <w:rsid w:val="0D5A26F8"/>
    <w:rsid w:val="0D5C45C0"/>
    <w:rsid w:val="0D5D70E8"/>
    <w:rsid w:val="0D5F19BA"/>
    <w:rsid w:val="0D6618DB"/>
    <w:rsid w:val="0D6945E7"/>
    <w:rsid w:val="0D701E19"/>
    <w:rsid w:val="0D703BC7"/>
    <w:rsid w:val="0D757F40"/>
    <w:rsid w:val="0D774F56"/>
    <w:rsid w:val="0D7C256C"/>
    <w:rsid w:val="0D7F02AE"/>
    <w:rsid w:val="0D802B47"/>
    <w:rsid w:val="0D8256A8"/>
    <w:rsid w:val="0D842293"/>
    <w:rsid w:val="0D8633EB"/>
    <w:rsid w:val="0D8B0A01"/>
    <w:rsid w:val="0D906D13"/>
    <w:rsid w:val="0D95362E"/>
    <w:rsid w:val="0DA815B3"/>
    <w:rsid w:val="0DA82DCF"/>
    <w:rsid w:val="0DB02216"/>
    <w:rsid w:val="0DB066B9"/>
    <w:rsid w:val="0DB37F58"/>
    <w:rsid w:val="0DBC6E0C"/>
    <w:rsid w:val="0DC108C7"/>
    <w:rsid w:val="0DC12675"/>
    <w:rsid w:val="0DC350E0"/>
    <w:rsid w:val="0DC363ED"/>
    <w:rsid w:val="0DC61A39"/>
    <w:rsid w:val="0DC65EDD"/>
    <w:rsid w:val="0DC67C8B"/>
    <w:rsid w:val="0DD57ECE"/>
    <w:rsid w:val="0DD73C46"/>
    <w:rsid w:val="0DD759F4"/>
    <w:rsid w:val="0DD86BFB"/>
    <w:rsid w:val="0DDC125D"/>
    <w:rsid w:val="0DE3083D"/>
    <w:rsid w:val="0DE325EB"/>
    <w:rsid w:val="0DE439D1"/>
    <w:rsid w:val="0DE95727"/>
    <w:rsid w:val="0DED16BC"/>
    <w:rsid w:val="0DED5218"/>
    <w:rsid w:val="0DEE0F90"/>
    <w:rsid w:val="0DF20A80"/>
    <w:rsid w:val="0DF26CD2"/>
    <w:rsid w:val="0DF90060"/>
    <w:rsid w:val="0DFF4117"/>
    <w:rsid w:val="0E0B1B42"/>
    <w:rsid w:val="0E0E518E"/>
    <w:rsid w:val="0E100F06"/>
    <w:rsid w:val="0E1B7FD7"/>
    <w:rsid w:val="0E1D02FF"/>
    <w:rsid w:val="0E214EC1"/>
    <w:rsid w:val="0E252C04"/>
    <w:rsid w:val="0E3161C8"/>
    <w:rsid w:val="0E3A60E5"/>
    <w:rsid w:val="0E4137B5"/>
    <w:rsid w:val="0E460DCC"/>
    <w:rsid w:val="0E484B44"/>
    <w:rsid w:val="0E4868F2"/>
    <w:rsid w:val="0E4B0190"/>
    <w:rsid w:val="0E4D5CB6"/>
    <w:rsid w:val="0E527771"/>
    <w:rsid w:val="0E590AFF"/>
    <w:rsid w:val="0E5F57B3"/>
    <w:rsid w:val="0E614144"/>
    <w:rsid w:val="0E62280C"/>
    <w:rsid w:val="0E63197E"/>
    <w:rsid w:val="0E636264"/>
    <w:rsid w:val="0E653000"/>
    <w:rsid w:val="0E686F94"/>
    <w:rsid w:val="0E6A3E69"/>
    <w:rsid w:val="0E6B438E"/>
    <w:rsid w:val="0E6E1987"/>
    <w:rsid w:val="0E71409B"/>
    <w:rsid w:val="0E7202CF"/>
    <w:rsid w:val="0E72571D"/>
    <w:rsid w:val="0E7616B1"/>
    <w:rsid w:val="0E7D2A40"/>
    <w:rsid w:val="0E7E34AC"/>
    <w:rsid w:val="0E8042DE"/>
    <w:rsid w:val="0E83792A"/>
    <w:rsid w:val="0E8518F4"/>
    <w:rsid w:val="0E855450"/>
    <w:rsid w:val="0E884F40"/>
    <w:rsid w:val="0E8B67DF"/>
    <w:rsid w:val="0E9B1118"/>
    <w:rsid w:val="0E9B4C74"/>
    <w:rsid w:val="0E9D4E90"/>
    <w:rsid w:val="0EA0228A"/>
    <w:rsid w:val="0EA224A6"/>
    <w:rsid w:val="0EA37FCC"/>
    <w:rsid w:val="0EA4373F"/>
    <w:rsid w:val="0EAB3241"/>
    <w:rsid w:val="0EAC0C2F"/>
    <w:rsid w:val="0EAC66EA"/>
    <w:rsid w:val="0EAF4BC3"/>
    <w:rsid w:val="0EB67D00"/>
    <w:rsid w:val="0EBA5B1C"/>
    <w:rsid w:val="0EBE0D48"/>
    <w:rsid w:val="0EC3241C"/>
    <w:rsid w:val="0EC35F79"/>
    <w:rsid w:val="0ECA5559"/>
    <w:rsid w:val="0ED11372"/>
    <w:rsid w:val="0ED32660"/>
    <w:rsid w:val="0ED463D8"/>
    <w:rsid w:val="0ED63EFE"/>
    <w:rsid w:val="0ED71A24"/>
    <w:rsid w:val="0ED87E00"/>
    <w:rsid w:val="0EDD34DE"/>
    <w:rsid w:val="0EE83C31"/>
    <w:rsid w:val="0EEA1757"/>
    <w:rsid w:val="0EEC3721"/>
    <w:rsid w:val="0EEE7499"/>
    <w:rsid w:val="0EF40828"/>
    <w:rsid w:val="0EF425D6"/>
    <w:rsid w:val="0EF54800"/>
    <w:rsid w:val="0EF600FC"/>
    <w:rsid w:val="0EF60FA5"/>
    <w:rsid w:val="0F0E7B3C"/>
    <w:rsid w:val="0F0F5662"/>
    <w:rsid w:val="0F113188"/>
    <w:rsid w:val="0F135152"/>
    <w:rsid w:val="0F1467D4"/>
    <w:rsid w:val="0F151910"/>
    <w:rsid w:val="0F1B7B63"/>
    <w:rsid w:val="0F20786F"/>
    <w:rsid w:val="0F2729AB"/>
    <w:rsid w:val="0F296723"/>
    <w:rsid w:val="0F31382A"/>
    <w:rsid w:val="0F331350"/>
    <w:rsid w:val="0F3A448D"/>
    <w:rsid w:val="0F3B1FB3"/>
    <w:rsid w:val="0F3D5D2B"/>
    <w:rsid w:val="0F4862CF"/>
    <w:rsid w:val="0F4946D0"/>
    <w:rsid w:val="0F4A0448"/>
    <w:rsid w:val="0F515C7A"/>
    <w:rsid w:val="0F52015A"/>
    <w:rsid w:val="0F531FEE"/>
    <w:rsid w:val="0F5337A0"/>
    <w:rsid w:val="0F552E5E"/>
    <w:rsid w:val="0F56503F"/>
    <w:rsid w:val="0F5D63CD"/>
    <w:rsid w:val="0F64150A"/>
    <w:rsid w:val="0F67278C"/>
    <w:rsid w:val="0F702A46"/>
    <w:rsid w:val="0F723B92"/>
    <w:rsid w:val="0F76748F"/>
    <w:rsid w:val="0F814DAD"/>
    <w:rsid w:val="0F817840"/>
    <w:rsid w:val="0F841BAC"/>
    <w:rsid w:val="0F864741"/>
    <w:rsid w:val="0F8676D2"/>
    <w:rsid w:val="0F87169C"/>
    <w:rsid w:val="0F87344A"/>
    <w:rsid w:val="0F8B2F3A"/>
    <w:rsid w:val="0F9124C0"/>
    <w:rsid w:val="0F953DB9"/>
    <w:rsid w:val="0FA027C1"/>
    <w:rsid w:val="0FAB538A"/>
    <w:rsid w:val="0FAC4C5F"/>
    <w:rsid w:val="0FAE6C29"/>
    <w:rsid w:val="0FB3423F"/>
    <w:rsid w:val="0FC1695C"/>
    <w:rsid w:val="0FDA5C70"/>
    <w:rsid w:val="0FDD12BC"/>
    <w:rsid w:val="0FDE5955"/>
    <w:rsid w:val="0FE4089C"/>
    <w:rsid w:val="0FE64614"/>
    <w:rsid w:val="0FE71D8A"/>
    <w:rsid w:val="0FE8038D"/>
    <w:rsid w:val="0FEB2196"/>
    <w:rsid w:val="0FEF446E"/>
    <w:rsid w:val="0FF07241"/>
    <w:rsid w:val="0FF56606"/>
    <w:rsid w:val="0FFB478D"/>
    <w:rsid w:val="0FFB5EE2"/>
    <w:rsid w:val="0FFC5BE6"/>
    <w:rsid w:val="0FFD54BA"/>
    <w:rsid w:val="0FFE5B17"/>
    <w:rsid w:val="10036F74"/>
    <w:rsid w:val="10046849"/>
    <w:rsid w:val="100827DD"/>
    <w:rsid w:val="10096E60"/>
    <w:rsid w:val="100B5E29"/>
    <w:rsid w:val="100F3B6B"/>
    <w:rsid w:val="10101691"/>
    <w:rsid w:val="10150A56"/>
    <w:rsid w:val="1015269C"/>
    <w:rsid w:val="10156CA8"/>
    <w:rsid w:val="101937C4"/>
    <w:rsid w:val="101A2510"/>
    <w:rsid w:val="101C35DB"/>
    <w:rsid w:val="101C3B92"/>
    <w:rsid w:val="10207B26"/>
    <w:rsid w:val="1021389E"/>
    <w:rsid w:val="102173FB"/>
    <w:rsid w:val="10246EEB"/>
    <w:rsid w:val="102F7D69"/>
    <w:rsid w:val="1032785A"/>
    <w:rsid w:val="103435D2"/>
    <w:rsid w:val="10376C1E"/>
    <w:rsid w:val="103B0065"/>
    <w:rsid w:val="104650B3"/>
    <w:rsid w:val="104A6951"/>
    <w:rsid w:val="104E5D16"/>
    <w:rsid w:val="105253A5"/>
    <w:rsid w:val="10572E8C"/>
    <w:rsid w:val="105B0B5E"/>
    <w:rsid w:val="10615A49"/>
    <w:rsid w:val="10665CC7"/>
    <w:rsid w:val="106D2640"/>
    <w:rsid w:val="106F460A"/>
    <w:rsid w:val="10795489"/>
    <w:rsid w:val="107C0AD5"/>
    <w:rsid w:val="107E32D1"/>
    <w:rsid w:val="107E363C"/>
    <w:rsid w:val="107F4121"/>
    <w:rsid w:val="1087314D"/>
    <w:rsid w:val="10892283"/>
    <w:rsid w:val="108D683E"/>
    <w:rsid w:val="108F0808"/>
    <w:rsid w:val="1092654A"/>
    <w:rsid w:val="10991687"/>
    <w:rsid w:val="109B53FF"/>
    <w:rsid w:val="109B74C8"/>
    <w:rsid w:val="109E4EEF"/>
    <w:rsid w:val="10A5002C"/>
    <w:rsid w:val="10AB4249"/>
    <w:rsid w:val="10AC13BA"/>
    <w:rsid w:val="10B22749"/>
    <w:rsid w:val="10B4685A"/>
    <w:rsid w:val="10B62239"/>
    <w:rsid w:val="10B65D95"/>
    <w:rsid w:val="10B77D5F"/>
    <w:rsid w:val="10B85FB1"/>
    <w:rsid w:val="10BB15FD"/>
    <w:rsid w:val="10C304B2"/>
    <w:rsid w:val="10C60457"/>
    <w:rsid w:val="10CA1840"/>
    <w:rsid w:val="10CF50A9"/>
    <w:rsid w:val="10D4446D"/>
    <w:rsid w:val="10DB2AAB"/>
    <w:rsid w:val="10DB57FB"/>
    <w:rsid w:val="10DC1574"/>
    <w:rsid w:val="10DD42B5"/>
    <w:rsid w:val="10E70644"/>
    <w:rsid w:val="10E943BC"/>
    <w:rsid w:val="10EF74F9"/>
    <w:rsid w:val="10F176DA"/>
    <w:rsid w:val="10F863AD"/>
    <w:rsid w:val="10FE773C"/>
    <w:rsid w:val="11001706"/>
    <w:rsid w:val="11005262"/>
    <w:rsid w:val="11013044"/>
    <w:rsid w:val="1102547E"/>
    <w:rsid w:val="11036B00"/>
    <w:rsid w:val="110765F0"/>
    <w:rsid w:val="110A4333"/>
    <w:rsid w:val="110A60E1"/>
    <w:rsid w:val="1112515E"/>
    <w:rsid w:val="111B6540"/>
    <w:rsid w:val="11274EE5"/>
    <w:rsid w:val="11365128"/>
    <w:rsid w:val="1139291A"/>
    <w:rsid w:val="11423ACC"/>
    <w:rsid w:val="11427629"/>
    <w:rsid w:val="11477335"/>
    <w:rsid w:val="11494E5B"/>
    <w:rsid w:val="114A2981"/>
    <w:rsid w:val="11513438"/>
    <w:rsid w:val="115B2DE0"/>
    <w:rsid w:val="115D7105"/>
    <w:rsid w:val="115E7CF3"/>
    <w:rsid w:val="11643A43"/>
    <w:rsid w:val="11691059"/>
    <w:rsid w:val="116F23E8"/>
    <w:rsid w:val="117046E9"/>
    <w:rsid w:val="11743805"/>
    <w:rsid w:val="11765524"/>
    <w:rsid w:val="117E4227"/>
    <w:rsid w:val="118539B9"/>
    <w:rsid w:val="11875983"/>
    <w:rsid w:val="118A0FD0"/>
    <w:rsid w:val="118F65E6"/>
    <w:rsid w:val="11901201"/>
    <w:rsid w:val="119105B0"/>
    <w:rsid w:val="11911E2E"/>
    <w:rsid w:val="11965BC6"/>
    <w:rsid w:val="119F2CCD"/>
    <w:rsid w:val="11A33640"/>
    <w:rsid w:val="11AA3420"/>
    <w:rsid w:val="11AA45C9"/>
    <w:rsid w:val="11AF4ADF"/>
    <w:rsid w:val="11B06C88"/>
    <w:rsid w:val="11BD2243"/>
    <w:rsid w:val="11BD3153"/>
    <w:rsid w:val="11BF336F"/>
    <w:rsid w:val="11C42733"/>
    <w:rsid w:val="11C6025A"/>
    <w:rsid w:val="11C646FD"/>
    <w:rsid w:val="11CB2213"/>
    <w:rsid w:val="11CD2292"/>
    <w:rsid w:val="11D54941"/>
    <w:rsid w:val="11DA1F57"/>
    <w:rsid w:val="11DC5CCF"/>
    <w:rsid w:val="11E4732B"/>
    <w:rsid w:val="11EB5F12"/>
    <w:rsid w:val="11F1104F"/>
    <w:rsid w:val="11F823DD"/>
    <w:rsid w:val="11FC011F"/>
    <w:rsid w:val="11FD6FEC"/>
    <w:rsid w:val="11FE3E97"/>
    <w:rsid w:val="11FE562B"/>
    <w:rsid w:val="12042B30"/>
    <w:rsid w:val="120711AA"/>
    <w:rsid w:val="1209283C"/>
    <w:rsid w:val="121511E1"/>
    <w:rsid w:val="12176D07"/>
    <w:rsid w:val="121865DB"/>
    <w:rsid w:val="121A67F7"/>
    <w:rsid w:val="121D0989"/>
    <w:rsid w:val="121D3BF2"/>
    <w:rsid w:val="12266F4A"/>
    <w:rsid w:val="1229506F"/>
    <w:rsid w:val="122D2087"/>
    <w:rsid w:val="12307DC9"/>
    <w:rsid w:val="123305D6"/>
    <w:rsid w:val="12353631"/>
    <w:rsid w:val="123C676E"/>
    <w:rsid w:val="123F1DBA"/>
    <w:rsid w:val="12415B32"/>
    <w:rsid w:val="12492C39"/>
    <w:rsid w:val="124D097B"/>
    <w:rsid w:val="12595CB5"/>
    <w:rsid w:val="126006AE"/>
    <w:rsid w:val="12696E37"/>
    <w:rsid w:val="126A32DB"/>
    <w:rsid w:val="126E269F"/>
    <w:rsid w:val="126F08F1"/>
    <w:rsid w:val="12744159"/>
    <w:rsid w:val="1279351E"/>
    <w:rsid w:val="1283614B"/>
    <w:rsid w:val="128D521B"/>
    <w:rsid w:val="128F4AEF"/>
    <w:rsid w:val="1292638E"/>
    <w:rsid w:val="129B48F0"/>
    <w:rsid w:val="129C0FBA"/>
    <w:rsid w:val="12A32349"/>
    <w:rsid w:val="12AC38F3"/>
    <w:rsid w:val="12B912CE"/>
    <w:rsid w:val="12B91B6C"/>
    <w:rsid w:val="12C624DB"/>
    <w:rsid w:val="12C64289"/>
    <w:rsid w:val="12CA3D79"/>
    <w:rsid w:val="12CD1ABC"/>
    <w:rsid w:val="12D167D4"/>
    <w:rsid w:val="12D82E39"/>
    <w:rsid w:val="12DA1AE3"/>
    <w:rsid w:val="12E27315"/>
    <w:rsid w:val="12EA2943"/>
    <w:rsid w:val="12EC1060"/>
    <w:rsid w:val="12ED1816"/>
    <w:rsid w:val="12ED5CBA"/>
    <w:rsid w:val="12EF1A32"/>
    <w:rsid w:val="12EF558E"/>
    <w:rsid w:val="12F048B5"/>
    <w:rsid w:val="12F15B4A"/>
    <w:rsid w:val="12F17558"/>
    <w:rsid w:val="12FD414F"/>
    <w:rsid w:val="12FE6C25"/>
    <w:rsid w:val="130059ED"/>
    <w:rsid w:val="13076D7C"/>
    <w:rsid w:val="1311124B"/>
    <w:rsid w:val="13140A84"/>
    <w:rsid w:val="13141499"/>
    <w:rsid w:val="131B6178"/>
    <w:rsid w:val="131C53CB"/>
    <w:rsid w:val="13222DD7"/>
    <w:rsid w:val="1324792E"/>
    <w:rsid w:val="13274D28"/>
    <w:rsid w:val="132A2A6A"/>
    <w:rsid w:val="132C0590"/>
    <w:rsid w:val="132C05F4"/>
    <w:rsid w:val="13302AAC"/>
    <w:rsid w:val="13337B71"/>
    <w:rsid w:val="133B6A25"/>
    <w:rsid w:val="133E6515"/>
    <w:rsid w:val="1345619B"/>
    <w:rsid w:val="134C29E0"/>
    <w:rsid w:val="134E6759"/>
    <w:rsid w:val="134F427F"/>
    <w:rsid w:val="1351449B"/>
    <w:rsid w:val="13545D39"/>
    <w:rsid w:val="13547AE7"/>
    <w:rsid w:val="1356560D"/>
    <w:rsid w:val="13645F7C"/>
    <w:rsid w:val="1367781A"/>
    <w:rsid w:val="136A10B9"/>
    <w:rsid w:val="136C0BFC"/>
    <w:rsid w:val="136E0BA9"/>
    <w:rsid w:val="136F4921"/>
    <w:rsid w:val="13710699"/>
    <w:rsid w:val="137E6027"/>
    <w:rsid w:val="137E6912"/>
    <w:rsid w:val="13857CA0"/>
    <w:rsid w:val="138C54D3"/>
    <w:rsid w:val="138E4DA7"/>
    <w:rsid w:val="138E5706"/>
    <w:rsid w:val="13961EAE"/>
    <w:rsid w:val="139D148E"/>
    <w:rsid w:val="139D323C"/>
    <w:rsid w:val="139D4FEA"/>
    <w:rsid w:val="139E0D62"/>
    <w:rsid w:val="13A20852"/>
    <w:rsid w:val="13A4281C"/>
    <w:rsid w:val="13A54AE5"/>
    <w:rsid w:val="13A75E69"/>
    <w:rsid w:val="13B21859"/>
    <w:rsid w:val="13B50586"/>
    <w:rsid w:val="13B660AC"/>
    <w:rsid w:val="13B862C8"/>
    <w:rsid w:val="13BB7B66"/>
    <w:rsid w:val="13BF1404"/>
    <w:rsid w:val="13C609E5"/>
    <w:rsid w:val="13C7475D"/>
    <w:rsid w:val="13C95DDF"/>
    <w:rsid w:val="13CE33F5"/>
    <w:rsid w:val="13D027C1"/>
    <w:rsid w:val="13D6674E"/>
    <w:rsid w:val="13D824C6"/>
    <w:rsid w:val="13D87709"/>
    <w:rsid w:val="13D95FA0"/>
    <w:rsid w:val="13DA7FEC"/>
    <w:rsid w:val="13DB3D64"/>
    <w:rsid w:val="13DD5D2E"/>
    <w:rsid w:val="13DF3855"/>
    <w:rsid w:val="13E56991"/>
    <w:rsid w:val="13E76BAD"/>
    <w:rsid w:val="13E8630F"/>
    <w:rsid w:val="13EB044B"/>
    <w:rsid w:val="13EE5846"/>
    <w:rsid w:val="13F15336"/>
    <w:rsid w:val="13F310AE"/>
    <w:rsid w:val="13F76DF0"/>
    <w:rsid w:val="13F82B68"/>
    <w:rsid w:val="13FD1F2D"/>
    <w:rsid w:val="13FD3CDB"/>
    <w:rsid w:val="140C03C2"/>
    <w:rsid w:val="141352AC"/>
    <w:rsid w:val="14140F24"/>
    <w:rsid w:val="14151024"/>
    <w:rsid w:val="141860EE"/>
    <w:rsid w:val="14213FC1"/>
    <w:rsid w:val="14221993"/>
    <w:rsid w:val="14226D8A"/>
    <w:rsid w:val="14254615"/>
    <w:rsid w:val="14270D58"/>
    <w:rsid w:val="142B4CEC"/>
    <w:rsid w:val="142E0338"/>
    <w:rsid w:val="143040B0"/>
    <w:rsid w:val="14353475"/>
    <w:rsid w:val="14397409"/>
    <w:rsid w:val="143A6CDD"/>
    <w:rsid w:val="143F0797"/>
    <w:rsid w:val="14447B5C"/>
    <w:rsid w:val="14477801"/>
    <w:rsid w:val="1449256E"/>
    <w:rsid w:val="144F679D"/>
    <w:rsid w:val="14524026"/>
    <w:rsid w:val="14537D9F"/>
    <w:rsid w:val="14551D69"/>
    <w:rsid w:val="145A112D"/>
    <w:rsid w:val="145D29CB"/>
    <w:rsid w:val="1461070D"/>
    <w:rsid w:val="14681A9C"/>
    <w:rsid w:val="146975C2"/>
    <w:rsid w:val="146E4BD8"/>
    <w:rsid w:val="147321EF"/>
    <w:rsid w:val="14771CDF"/>
    <w:rsid w:val="147C10A3"/>
    <w:rsid w:val="147C72F5"/>
    <w:rsid w:val="147E306D"/>
    <w:rsid w:val="14832432"/>
    <w:rsid w:val="148368D6"/>
    <w:rsid w:val="14870B74"/>
    <w:rsid w:val="148A1AF0"/>
    <w:rsid w:val="148A3231"/>
    <w:rsid w:val="14935A24"/>
    <w:rsid w:val="1494463F"/>
    <w:rsid w:val="14975EDD"/>
    <w:rsid w:val="14983A03"/>
    <w:rsid w:val="14996A51"/>
    <w:rsid w:val="149D101A"/>
    <w:rsid w:val="149D2593"/>
    <w:rsid w:val="14A74423"/>
    <w:rsid w:val="14A800EA"/>
    <w:rsid w:val="14AF1479"/>
    <w:rsid w:val="14AF237B"/>
    <w:rsid w:val="14B22D17"/>
    <w:rsid w:val="14B46A8F"/>
    <w:rsid w:val="14BA1BCC"/>
    <w:rsid w:val="14C173FE"/>
    <w:rsid w:val="14C53111"/>
    <w:rsid w:val="14CB1B54"/>
    <w:rsid w:val="14D233B9"/>
    <w:rsid w:val="14D64C58"/>
    <w:rsid w:val="14D94748"/>
    <w:rsid w:val="14D964F6"/>
    <w:rsid w:val="14DA2F73"/>
    <w:rsid w:val="14DB226E"/>
    <w:rsid w:val="14E46C49"/>
    <w:rsid w:val="14E54E9B"/>
    <w:rsid w:val="14E8498B"/>
    <w:rsid w:val="14F11A91"/>
    <w:rsid w:val="14FB20F3"/>
    <w:rsid w:val="15003A82"/>
    <w:rsid w:val="15051099"/>
    <w:rsid w:val="15082937"/>
    <w:rsid w:val="150B6CB2"/>
    <w:rsid w:val="15113041"/>
    <w:rsid w:val="15233C15"/>
    <w:rsid w:val="15277E52"/>
    <w:rsid w:val="15282FD9"/>
    <w:rsid w:val="152C2AC9"/>
    <w:rsid w:val="152F4368"/>
    <w:rsid w:val="15311E8E"/>
    <w:rsid w:val="15323E58"/>
    <w:rsid w:val="153876C0"/>
    <w:rsid w:val="153C5E15"/>
    <w:rsid w:val="153C6A85"/>
    <w:rsid w:val="154D6D9A"/>
    <w:rsid w:val="15542020"/>
    <w:rsid w:val="15565D98"/>
    <w:rsid w:val="155838BF"/>
    <w:rsid w:val="155C1CAA"/>
    <w:rsid w:val="15604521"/>
    <w:rsid w:val="156A58A7"/>
    <w:rsid w:val="156D10F1"/>
    <w:rsid w:val="15712BD2"/>
    <w:rsid w:val="15763D45"/>
    <w:rsid w:val="15783F61"/>
    <w:rsid w:val="15802E15"/>
    <w:rsid w:val="15804BC3"/>
    <w:rsid w:val="15853F88"/>
    <w:rsid w:val="15877D00"/>
    <w:rsid w:val="158A77F0"/>
    <w:rsid w:val="158E5532"/>
    <w:rsid w:val="159E5049"/>
    <w:rsid w:val="159F14ED"/>
    <w:rsid w:val="15A00DC2"/>
    <w:rsid w:val="15A46B04"/>
    <w:rsid w:val="15A563D8"/>
    <w:rsid w:val="15AC7766"/>
    <w:rsid w:val="15AE34DE"/>
    <w:rsid w:val="15B30AF5"/>
    <w:rsid w:val="15B50D11"/>
    <w:rsid w:val="15B63D19"/>
    <w:rsid w:val="15B825AF"/>
    <w:rsid w:val="15C03212"/>
    <w:rsid w:val="15CA5E3E"/>
    <w:rsid w:val="15D32F45"/>
    <w:rsid w:val="15D53161"/>
    <w:rsid w:val="15D54F0F"/>
    <w:rsid w:val="15D5574D"/>
    <w:rsid w:val="15DB004C"/>
    <w:rsid w:val="15DD0268"/>
    <w:rsid w:val="15DD2016"/>
    <w:rsid w:val="15E05662"/>
    <w:rsid w:val="15E433A4"/>
    <w:rsid w:val="15E45152"/>
    <w:rsid w:val="15EC4007"/>
    <w:rsid w:val="15EF674F"/>
    <w:rsid w:val="15F07F9B"/>
    <w:rsid w:val="15F5110D"/>
    <w:rsid w:val="15FD6214"/>
    <w:rsid w:val="15FF01DE"/>
    <w:rsid w:val="15FF1F8C"/>
    <w:rsid w:val="15FF3D3A"/>
    <w:rsid w:val="16013B5F"/>
    <w:rsid w:val="160E21CF"/>
    <w:rsid w:val="16113A6D"/>
    <w:rsid w:val="1613137D"/>
    <w:rsid w:val="16175528"/>
    <w:rsid w:val="161812A0"/>
    <w:rsid w:val="1618304E"/>
    <w:rsid w:val="161844A8"/>
    <w:rsid w:val="161C272A"/>
    <w:rsid w:val="162172D7"/>
    <w:rsid w:val="16225C7A"/>
    <w:rsid w:val="16266269"/>
    <w:rsid w:val="16273291"/>
    <w:rsid w:val="16297009"/>
    <w:rsid w:val="16421E79"/>
    <w:rsid w:val="16442898"/>
    <w:rsid w:val="16443E43"/>
    <w:rsid w:val="164B3423"/>
    <w:rsid w:val="164E4CC1"/>
    <w:rsid w:val="165027E8"/>
    <w:rsid w:val="165878EE"/>
    <w:rsid w:val="165D6CB3"/>
    <w:rsid w:val="16632718"/>
    <w:rsid w:val="166718DF"/>
    <w:rsid w:val="16692350"/>
    <w:rsid w:val="166A2EEE"/>
    <w:rsid w:val="166E7112"/>
    <w:rsid w:val="16702E8A"/>
    <w:rsid w:val="1674784B"/>
    <w:rsid w:val="167C35DD"/>
    <w:rsid w:val="167E2E13"/>
    <w:rsid w:val="16816E45"/>
    <w:rsid w:val="1686445B"/>
    <w:rsid w:val="168801D3"/>
    <w:rsid w:val="1695469E"/>
    <w:rsid w:val="16970417"/>
    <w:rsid w:val="169A1CB5"/>
    <w:rsid w:val="169C3C7F"/>
    <w:rsid w:val="169C5A2D"/>
    <w:rsid w:val="16A13043"/>
    <w:rsid w:val="16AD1854"/>
    <w:rsid w:val="16AE4C75"/>
    <w:rsid w:val="16B20DAC"/>
    <w:rsid w:val="16B97005"/>
    <w:rsid w:val="16BA4105"/>
    <w:rsid w:val="16BC1C2B"/>
    <w:rsid w:val="16BF171B"/>
    <w:rsid w:val="16C805D0"/>
    <w:rsid w:val="16CB00C0"/>
    <w:rsid w:val="16D03928"/>
    <w:rsid w:val="16D74CB7"/>
    <w:rsid w:val="16D90A2F"/>
    <w:rsid w:val="16DF1A80"/>
    <w:rsid w:val="16E00A6F"/>
    <w:rsid w:val="16E42F30"/>
    <w:rsid w:val="16EE07C5"/>
    <w:rsid w:val="16F05D79"/>
    <w:rsid w:val="16F45869"/>
    <w:rsid w:val="16F70EB5"/>
    <w:rsid w:val="16FB6BF7"/>
    <w:rsid w:val="16FE3FF2"/>
    <w:rsid w:val="1700420E"/>
    <w:rsid w:val="17013AE2"/>
    <w:rsid w:val="17033CFE"/>
    <w:rsid w:val="1706559C"/>
    <w:rsid w:val="17127A9D"/>
    <w:rsid w:val="17233A58"/>
    <w:rsid w:val="1726179A"/>
    <w:rsid w:val="172A0249"/>
    <w:rsid w:val="172D2EFF"/>
    <w:rsid w:val="172F4AF3"/>
    <w:rsid w:val="17312619"/>
    <w:rsid w:val="17357B35"/>
    <w:rsid w:val="173B424A"/>
    <w:rsid w:val="173E0892"/>
    <w:rsid w:val="173E6AE4"/>
    <w:rsid w:val="174001C6"/>
    <w:rsid w:val="174D6D27"/>
    <w:rsid w:val="17516817"/>
    <w:rsid w:val="17546308"/>
    <w:rsid w:val="17563E2E"/>
    <w:rsid w:val="175956CC"/>
    <w:rsid w:val="175C51BC"/>
    <w:rsid w:val="17602EFE"/>
    <w:rsid w:val="17654071"/>
    <w:rsid w:val="17665625"/>
    <w:rsid w:val="176A5B2B"/>
    <w:rsid w:val="1772678E"/>
    <w:rsid w:val="177353A3"/>
    <w:rsid w:val="177469AA"/>
    <w:rsid w:val="177C760C"/>
    <w:rsid w:val="177D585E"/>
    <w:rsid w:val="178169D1"/>
    <w:rsid w:val="17832749"/>
    <w:rsid w:val="17887D5F"/>
    <w:rsid w:val="17A51496"/>
    <w:rsid w:val="17A54DB5"/>
    <w:rsid w:val="17AF1790"/>
    <w:rsid w:val="17BB0135"/>
    <w:rsid w:val="17BC6D09"/>
    <w:rsid w:val="17BE19D3"/>
    <w:rsid w:val="17C74D2B"/>
    <w:rsid w:val="17C76AD9"/>
    <w:rsid w:val="17CE60BA"/>
    <w:rsid w:val="17D3547E"/>
    <w:rsid w:val="17D631C0"/>
    <w:rsid w:val="17D67473"/>
    <w:rsid w:val="17D905BB"/>
    <w:rsid w:val="17DE3E23"/>
    <w:rsid w:val="17E7717C"/>
    <w:rsid w:val="17E92EF4"/>
    <w:rsid w:val="17EA27C8"/>
    <w:rsid w:val="17EA64CC"/>
    <w:rsid w:val="17F81389"/>
    <w:rsid w:val="17FB49D5"/>
    <w:rsid w:val="17FF1243"/>
    <w:rsid w:val="1800023D"/>
    <w:rsid w:val="18025D64"/>
    <w:rsid w:val="18027B12"/>
    <w:rsid w:val="18055854"/>
    <w:rsid w:val="18075128"/>
    <w:rsid w:val="180A4C18"/>
    <w:rsid w:val="180C01B6"/>
    <w:rsid w:val="180E4708"/>
    <w:rsid w:val="180F222F"/>
    <w:rsid w:val="18185587"/>
    <w:rsid w:val="181C4F1A"/>
    <w:rsid w:val="181F6915"/>
    <w:rsid w:val="1821268E"/>
    <w:rsid w:val="18221F62"/>
    <w:rsid w:val="18243F2C"/>
    <w:rsid w:val="18283020"/>
    <w:rsid w:val="182B52BA"/>
    <w:rsid w:val="18300B23"/>
    <w:rsid w:val="183455BE"/>
    <w:rsid w:val="18383533"/>
    <w:rsid w:val="183A374F"/>
    <w:rsid w:val="183C74C7"/>
    <w:rsid w:val="183D0B4A"/>
    <w:rsid w:val="1840688C"/>
    <w:rsid w:val="184243B2"/>
    <w:rsid w:val="18502F73"/>
    <w:rsid w:val="18534811"/>
    <w:rsid w:val="185D2255"/>
    <w:rsid w:val="185D2F9A"/>
    <w:rsid w:val="18664544"/>
    <w:rsid w:val="18716A45"/>
    <w:rsid w:val="187327BD"/>
    <w:rsid w:val="18743AEF"/>
    <w:rsid w:val="18787DD4"/>
    <w:rsid w:val="18866995"/>
    <w:rsid w:val="18891FE1"/>
    <w:rsid w:val="18893D8F"/>
    <w:rsid w:val="188941A3"/>
    <w:rsid w:val="188B7B07"/>
    <w:rsid w:val="188D1AD1"/>
    <w:rsid w:val="188E5D1D"/>
    <w:rsid w:val="18921BB6"/>
    <w:rsid w:val="18980476"/>
    <w:rsid w:val="189866C8"/>
    <w:rsid w:val="189D1475"/>
    <w:rsid w:val="18A32F63"/>
    <w:rsid w:val="18A64941"/>
    <w:rsid w:val="18A706B9"/>
    <w:rsid w:val="18A916AA"/>
    <w:rsid w:val="18A92683"/>
    <w:rsid w:val="18B168CE"/>
    <w:rsid w:val="18B90B18"/>
    <w:rsid w:val="18BD7EDC"/>
    <w:rsid w:val="18CD5688"/>
    <w:rsid w:val="18CE5C46"/>
    <w:rsid w:val="18D25736"/>
    <w:rsid w:val="18D53221"/>
    <w:rsid w:val="18D63B8C"/>
    <w:rsid w:val="18D94D16"/>
    <w:rsid w:val="18DD62F2"/>
    <w:rsid w:val="18E13BCB"/>
    <w:rsid w:val="18E436BB"/>
    <w:rsid w:val="18E90CD1"/>
    <w:rsid w:val="18E93B33"/>
    <w:rsid w:val="18EB67F8"/>
    <w:rsid w:val="18F002B2"/>
    <w:rsid w:val="18F02060"/>
    <w:rsid w:val="18F03E0E"/>
    <w:rsid w:val="18F27B86"/>
    <w:rsid w:val="18F356AC"/>
    <w:rsid w:val="18F51424"/>
    <w:rsid w:val="18F71640"/>
    <w:rsid w:val="18F86386"/>
    <w:rsid w:val="18F97167"/>
    <w:rsid w:val="1901426D"/>
    <w:rsid w:val="19055FA5"/>
    <w:rsid w:val="19094ED0"/>
    <w:rsid w:val="190F3B53"/>
    <w:rsid w:val="19103908"/>
    <w:rsid w:val="19163285"/>
    <w:rsid w:val="19193F61"/>
    <w:rsid w:val="191C4C03"/>
    <w:rsid w:val="192341E3"/>
    <w:rsid w:val="19255DCC"/>
    <w:rsid w:val="19287A4C"/>
    <w:rsid w:val="192F0DDA"/>
    <w:rsid w:val="192F2B88"/>
    <w:rsid w:val="19322678"/>
    <w:rsid w:val="193227AD"/>
    <w:rsid w:val="194505FE"/>
    <w:rsid w:val="19467ED2"/>
    <w:rsid w:val="194B20BD"/>
    <w:rsid w:val="194B54E8"/>
    <w:rsid w:val="19550115"/>
    <w:rsid w:val="19575C3B"/>
    <w:rsid w:val="195A3E0D"/>
    <w:rsid w:val="196842EC"/>
    <w:rsid w:val="196A1E12"/>
    <w:rsid w:val="196C11FD"/>
    <w:rsid w:val="196D545F"/>
    <w:rsid w:val="196E410D"/>
    <w:rsid w:val="196F735D"/>
    <w:rsid w:val="197B401F"/>
    <w:rsid w:val="197D7D98"/>
    <w:rsid w:val="197E766C"/>
    <w:rsid w:val="198033E4"/>
    <w:rsid w:val="198100D5"/>
    <w:rsid w:val="19831F35"/>
    <w:rsid w:val="19832ED4"/>
    <w:rsid w:val="198A7DBF"/>
    <w:rsid w:val="199C7AF2"/>
    <w:rsid w:val="199E1ABC"/>
    <w:rsid w:val="19A1335A"/>
    <w:rsid w:val="19A60971"/>
    <w:rsid w:val="19A8110D"/>
    <w:rsid w:val="19AA0461"/>
    <w:rsid w:val="19AC242B"/>
    <w:rsid w:val="19AC5F87"/>
    <w:rsid w:val="19AF3CC9"/>
    <w:rsid w:val="19B25567"/>
    <w:rsid w:val="19B66E06"/>
    <w:rsid w:val="19B81FAC"/>
    <w:rsid w:val="19C10B67"/>
    <w:rsid w:val="19C239FC"/>
    <w:rsid w:val="19C5529B"/>
    <w:rsid w:val="19C72DC1"/>
    <w:rsid w:val="19CC487B"/>
    <w:rsid w:val="19D159ED"/>
    <w:rsid w:val="19D47CEE"/>
    <w:rsid w:val="19D9027E"/>
    <w:rsid w:val="19DD25E4"/>
    <w:rsid w:val="19E22AC8"/>
    <w:rsid w:val="19E630E0"/>
    <w:rsid w:val="19E73463"/>
    <w:rsid w:val="19EA6632"/>
    <w:rsid w:val="19EC2827"/>
    <w:rsid w:val="19ED659F"/>
    <w:rsid w:val="19EF1013"/>
    <w:rsid w:val="19F63341"/>
    <w:rsid w:val="19F636A6"/>
    <w:rsid w:val="19F93196"/>
    <w:rsid w:val="19FE255B"/>
    <w:rsid w:val="1A052A58"/>
    <w:rsid w:val="1A0933D9"/>
    <w:rsid w:val="1A0A0EFF"/>
    <w:rsid w:val="1A0E6C42"/>
    <w:rsid w:val="1A1678A4"/>
    <w:rsid w:val="1A18361C"/>
    <w:rsid w:val="1A1B4EBB"/>
    <w:rsid w:val="1A2226ED"/>
    <w:rsid w:val="1A240213"/>
    <w:rsid w:val="1A2A15A2"/>
    <w:rsid w:val="1A2B77F4"/>
    <w:rsid w:val="1A2C531A"/>
    <w:rsid w:val="1A2F0966"/>
    <w:rsid w:val="1A303CA1"/>
    <w:rsid w:val="1A3146DE"/>
    <w:rsid w:val="1A383CBF"/>
    <w:rsid w:val="1A400DC5"/>
    <w:rsid w:val="1A402B73"/>
    <w:rsid w:val="1A4473A9"/>
    <w:rsid w:val="1A486286"/>
    <w:rsid w:val="1A4A57A0"/>
    <w:rsid w:val="1A4A7D19"/>
    <w:rsid w:val="1A4C776A"/>
    <w:rsid w:val="1A4E34E2"/>
    <w:rsid w:val="1A4E703E"/>
    <w:rsid w:val="1A55661F"/>
    <w:rsid w:val="1A562397"/>
    <w:rsid w:val="1A590792"/>
    <w:rsid w:val="1A5A036E"/>
    <w:rsid w:val="1A5F124B"/>
    <w:rsid w:val="1A613102"/>
    <w:rsid w:val="1A6A7BF0"/>
    <w:rsid w:val="1A6E148E"/>
    <w:rsid w:val="1A6E56FE"/>
    <w:rsid w:val="1A7878EC"/>
    <w:rsid w:val="1A806BCE"/>
    <w:rsid w:val="1A8213DE"/>
    <w:rsid w:val="1A886B5A"/>
    <w:rsid w:val="1A8C42F1"/>
    <w:rsid w:val="1A8E38DF"/>
    <w:rsid w:val="1A903AFB"/>
    <w:rsid w:val="1A98650B"/>
    <w:rsid w:val="1A9A04D5"/>
    <w:rsid w:val="1A9A08E4"/>
    <w:rsid w:val="1A9B129F"/>
    <w:rsid w:val="1A9F12D7"/>
    <w:rsid w:val="1A9F3D3E"/>
    <w:rsid w:val="1A9F5AEC"/>
    <w:rsid w:val="1AA475A6"/>
    <w:rsid w:val="1AA90718"/>
    <w:rsid w:val="1AAC1FB7"/>
    <w:rsid w:val="1AB041DF"/>
    <w:rsid w:val="1ABA46D4"/>
    <w:rsid w:val="1ABC669E"/>
    <w:rsid w:val="1ACB068F"/>
    <w:rsid w:val="1ACD2659"/>
    <w:rsid w:val="1AD31C39"/>
    <w:rsid w:val="1ADA4D76"/>
    <w:rsid w:val="1ADC289C"/>
    <w:rsid w:val="1ADD6614"/>
    <w:rsid w:val="1AE300CE"/>
    <w:rsid w:val="1AE41750"/>
    <w:rsid w:val="1AE94FB9"/>
    <w:rsid w:val="1AF20311"/>
    <w:rsid w:val="1AF44089"/>
    <w:rsid w:val="1AF71484"/>
    <w:rsid w:val="1AF75928"/>
    <w:rsid w:val="1AFD7122"/>
    <w:rsid w:val="1AFE7E03"/>
    <w:rsid w:val="1B013CB7"/>
    <w:rsid w:val="1B0911B7"/>
    <w:rsid w:val="1B0A25F6"/>
    <w:rsid w:val="1B0D0CA7"/>
    <w:rsid w:val="1B0D514B"/>
    <w:rsid w:val="1B132036"/>
    <w:rsid w:val="1B17289A"/>
    <w:rsid w:val="1B1738D4"/>
    <w:rsid w:val="1B1E1342"/>
    <w:rsid w:val="1B1F09DB"/>
    <w:rsid w:val="1B23671D"/>
    <w:rsid w:val="1B297880"/>
    <w:rsid w:val="1B2D759B"/>
    <w:rsid w:val="1B32070E"/>
    <w:rsid w:val="1B3C4FFF"/>
    <w:rsid w:val="1B3E70B3"/>
    <w:rsid w:val="1B414DF5"/>
    <w:rsid w:val="1B486183"/>
    <w:rsid w:val="1B487F31"/>
    <w:rsid w:val="1B5A1A13"/>
    <w:rsid w:val="1B5C39DD"/>
    <w:rsid w:val="1B5C578B"/>
    <w:rsid w:val="1B650AE3"/>
    <w:rsid w:val="1B66485B"/>
    <w:rsid w:val="1B6805D3"/>
    <w:rsid w:val="1B6D1746"/>
    <w:rsid w:val="1B7156DA"/>
    <w:rsid w:val="1B830F69"/>
    <w:rsid w:val="1B851185"/>
    <w:rsid w:val="1B8D003A"/>
    <w:rsid w:val="1B9118D8"/>
    <w:rsid w:val="1B9413C8"/>
    <w:rsid w:val="1B965141"/>
    <w:rsid w:val="1B9804C3"/>
    <w:rsid w:val="1B9F3FD2"/>
    <w:rsid w:val="1BA333BA"/>
    <w:rsid w:val="1BAA4748"/>
    <w:rsid w:val="1BAB04C0"/>
    <w:rsid w:val="1BAF1D5E"/>
    <w:rsid w:val="1BB05AD7"/>
    <w:rsid w:val="1BB3050D"/>
    <w:rsid w:val="1BBE01F3"/>
    <w:rsid w:val="1BC53330"/>
    <w:rsid w:val="1BC81072"/>
    <w:rsid w:val="1BCA303C"/>
    <w:rsid w:val="1BCF41AF"/>
    <w:rsid w:val="1BD03214"/>
    <w:rsid w:val="1BD21EF1"/>
    <w:rsid w:val="1BD565F1"/>
    <w:rsid w:val="1BDD5CC2"/>
    <w:rsid w:val="1BE85270"/>
    <w:rsid w:val="1BEE6D2B"/>
    <w:rsid w:val="1BEF2AA3"/>
    <w:rsid w:val="1BF105C9"/>
    <w:rsid w:val="1BF26033"/>
    <w:rsid w:val="1BF400B9"/>
    <w:rsid w:val="1BF46D94"/>
    <w:rsid w:val="1BF63E31"/>
    <w:rsid w:val="1BF81957"/>
    <w:rsid w:val="1C016069"/>
    <w:rsid w:val="1C0E2F29"/>
    <w:rsid w:val="1C161DDD"/>
    <w:rsid w:val="1C1918CE"/>
    <w:rsid w:val="1C1E0C92"/>
    <w:rsid w:val="1C204A0A"/>
    <w:rsid w:val="1C220782"/>
    <w:rsid w:val="1C22105F"/>
    <w:rsid w:val="1C27223D"/>
    <w:rsid w:val="1C295FB5"/>
    <w:rsid w:val="1C297D63"/>
    <w:rsid w:val="1C2C1601"/>
    <w:rsid w:val="1C33298F"/>
    <w:rsid w:val="1C375C57"/>
    <w:rsid w:val="1C3E1334"/>
    <w:rsid w:val="1C413A7E"/>
    <w:rsid w:val="1C4F3541"/>
    <w:rsid w:val="1C511068"/>
    <w:rsid w:val="1C556DAA"/>
    <w:rsid w:val="1C56667E"/>
    <w:rsid w:val="1C5F3784"/>
    <w:rsid w:val="1C676ADD"/>
    <w:rsid w:val="1C6E1C1A"/>
    <w:rsid w:val="1C6E39C8"/>
    <w:rsid w:val="1C730FDE"/>
    <w:rsid w:val="1C7A236C"/>
    <w:rsid w:val="1C821221"/>
    <w:rsid w:val="1C84143D"/>
    <w:rsid w:val="1C8431EB"/>
    <w:rsid w:val="1C8A6328"/>
    <w:rsid w:val="1C913B5A"/>
    <w:rsid w:val="1C9378D2"/>
    <w:rsid w:val="1C9553F8"/>
    <w:rsid w:val="1C962F1E"/>
    <w:rsid w:val="1C9F0025"/>
    <w:rsid w:val="1CA613B3"/>
    <w:rsid w:val="1CA6732F"/>
    <w:rsid w:val="1CAF34CB"/>
    <w:rsid w:val="1CB658ED"/>
    <w:rsid w:val="1CC311E2"/>
    <w:rsid w:val="1CC932F4"/>
    <w:rsid w:val="1CCB0E1A"/>
    <w:rsid w:val="1CD3634C"/>
    <w:rsid w:val="1CD639DB"/>
    <w:rsid w:val="1CD777BF"/>
    <w:rsid w:val="1CDF48C5"/>
    <w:rsid w:val="1CE67770"/>
    <w:rsid w:val="1CE912A0"/>
    <w:rsid w:val="1CFD2F9D"/>
    <w:rsid w:val="1D091942"/>
    <w:rsid w:val="1D0E6F59"/>
    <w:rsid w:val="1D152095"/>
    <w:rsid w:val="1D156539"/>
    <w:rsid w:val="1D165B52"/>
    <w:rsid w:val="1D175E0D"/>
    <w:rsid w:val="1D1A76AB"/>
    <w:rsid w:val="1D216C8C"/>
    <w:rsid w:val="1D271DC8"/>
    <w:rsid w:val="1D2E3157"/>
    <w:rsid w:val="1D386018"/>
    <w:rsid w:val="1D403077"/>
    <w:rsid w:val="1D43518E"/>
    <w:rsid w:val="1D4B3D09"/>
    <w:rsid w:val="1D4B622D"/>
    <w:rsid w:val="1D50131F"/>
    <w:rsid w:val="1D524C10"/>
    <w:rsid w:val="1D547061"/>
    <w:rsid w:val="1D5726AE"/>
    <w:rsid w:val="1D5D57EA"/>
    <w:rsid w:val="1D61177E"/>
    <w:rsid w:val="1D621046"/>
    <w:rsid w:val="1D6628F1"/>
    <w:rsid w:val="1D6B3571"/>
    <w:rsid w:val="1D7A45EE"/>
    <w:rsid w:val="1D862F93"/>
    <w:rsid w:val="1D8965DF"/>
    <w:rsid w:val="1D951428"/>
    <w:rsid w:val="1D9B4C90"/>
    <w:rsid w:val="1D9E642C"/>
    <w:rsid w:val="1DA23028"/>
    <w:rsid w:val="1DA5166B"/>
    <w:rsid w:val="1DA8115B"/>
    <w:rsid w:val="1DA845E1"/>
    <w:rsid w:val="1DAA2EFB"/>
    <w:rsid w:val="1DB4365C"/>
    <w:rsid w:val="1DBA2C3C"/>
    <w:rsid w:val="1DBB0E8E"/>
    <w:rsid w:val="1DBC69B5"/>
    <w:rsid w:val="1DC046F7"/>
    <w:rsid w:val="1DC064A5"/>
    <w:rsid w:val="1DC15D79"/>
    <w:rsid w:val="1DC2273E"/>
    <w:rsid w:val="1DC75A85"/>
    <w:rsid w:val="1DC97459"/>
    <w:rsid w:val="1DCB4E4A"/>
    <w:rsid w:val="1DD27F86"/>
    <w:rsid w:val="1DD575F8"/>
    <w:rsid w:val="1DD71D68"/>
    <w:rsid w:val="1DDB508D"/>
    <w:rsid w:val="1DE2466D"/>
    <w:rsid w:val="1DEC729A"/>
    <w:rsid w:val="1DED3012"/>
    <w:rsid w:val="1DF0665E"/>
    <w:rsid w:val="1DF63C75"/>
    <w:rsid w:val="1DF83E91"/>
    <w:rsid w:val="1E07697C"/>
    <w:rsid w:val="1E0A5972"/>
    <w:rsid w:val="1E122A78"/>
    <w:rsid w:val="1E222CBC"/>
    <w:rsid w:val="1E262080"/>
    <w:rsid w:val="1E2A1B70"/>
    <w:rsid w:val="1E2D340E"/>
    <w:rsid w:val="1E3173A3"/>
    <w:rsid w:val="1E37428D"/>
    <w:rsid w:val="1E390005"/>
    <w:rsid w:val="1E391DB3"/>
    <w:rsid w:val="1E3A2F21"/>
    <w:rsid w:val="1E401394"/>
    <w:rsid w:val="1E4470D6"/>
    <w:rsid w:val="1E45207C"/>
    <w:rsid w:val="1E45337F"/>
    <w:rsid w:val="1E4569AA"/>
    <w:rsid w:val="1E472722"/>
    <w:rsid w:val="1E480F24"/>
    <w:rsid w:val="1E4D585F"/>
    <w:rsid w:val="1E4F6FF6"/>
    <w:rsid w:val="1E502EE9"/>
    <w:rsid w:val="1E50753C"/>
    <w:rsid w:val="1E5B441F"/>
    <w:rsid w:val="1E5B7F7C"/>
    <w:rsid w:val="1E6359B1"/>
    <w:rsid w:val="1E6C0941"/>
    <w:rsid w:val="1E6E14B9"/>
    <w:rsid w:val="1E6E6B08"/>
    <w:rsid w:val="1E7D4396"/>
    <w:rsid w:val="1E8079E2"/>
    <w:rsid w:val="1E85149C"/>
    <w:rsid w:val="1E85324A"/>
    <w:rsid w:val="1E957931"/>
    <w:rsid w:val="1E990AA4"/>
    <w:rsid w:val="1E9E1E79"/>
    <w:rsid w:val="1EA00084"/>
    <w:rsid w:val="1EA01E32"/>
    <w:rsid w:val="1EA23DFC"/>
    <w:rsid w:val="1EA731C1"/>
    <w:rsid w:val="1EAC726C"/>
    <w:rsid w:val="1EAE454F"/>
    <w:rsid w:val="1EB13D07"/>
    <w:rsid w:val="1EB678A8"/>
    <w:rsid w:val="1EBD29E4"/>
    <w:rsid w:val="1EBF675C"/>
    <w:rsid w:val="1EC1113F"/>
    <w:rsid w:val="1EC27FFB"/>
    <w:rsid w:val="1EC65D3D"/>
    <w:rsid w:val="1ECB5F13"/>
    <w:rsid w:val="1ECC0E79"/>
    <w:rsid w:val="1ED32208"/>
    <w:rsid w:val="1ED75A22"/>
    <w:rsid w:val="1EDF0BAD"/>
    <w:rsid w:val="1EEB28F1"/>
    <w:rsid w:val="1EEE2B9E"/>
    <w:rsid w:val="1EF15480"/>
    <w:rsid w:val="1EF57D9B"/>
    <w:rsid w:val="1EF8494D"/>
    <w:rsid w:val="1EFA1543"/>
    <w:rsid w:val="1EFF2FFD"/>
    <w:rsid w:val="1F026649"/>
    <w:rsid w:val="1F0625DD"/>
    <w:rsid w:val="1F070103"/>
    <w:rsid w:val="1F0965DD"/>
    <w:rsid w:val="1F176598"/>
    <w:rsid w:val="1F2040E4"/>
    <w:rsid w:val="1F240CB5"/>
    <w:rsid w:val="1F262D0B"/>
    <w:rsid w:val="1F2E7CAC"/>
    <w:rsid w:val="1F301408"/>
    <w:rsid w:val="1F38392F"/>
    <w:rsid w:val="1F38650F"/>
    <w:rsid w:val="1F3D2127"/>
    <w:rsid w:val="1F3D58D3"/>
    <w:rsid w:val="1F417171"/>
    <w:rsid w:val="1F42113B"/>
    <w:rsid w:val="1F486752"/>
    <w:rsid w:val="1F574BE7"/>
    <w:rsid w:val="1F5C044F"/>
    <w:rsid w:val="1F5F1CED"/>
    <w:rsid w:val="1F607F6A"/>
    <w:rsid w:val="1F617814"/>
    <w:rsid w:val="1F625046"/>
    <w:rsid w:val="1F664E2A"/>
    <w:rsid w:val="1F6851EC"/>
    <w:rsid w:val="1F6D409D"/>
    <w:rsid w:val="1F721A21"/>
    <w:rsid w:val="1F751511"/>
    <w:rsid w:val="1F7A08D5"/>
    <w:rsid w:val="1F7F413E"/>
    <w:rsid w:val="1F7F60C4"/>
    <w:rsid w:val="1F817EB6"/>
    <w:rsid w:val="1F8A4FBC"/>
    <w:rsid w:val="1F8D685B"/>
    <w:rsid w:val="1F8F25D3"/>
    <w:rsid w:val="1F980D5B"/>
    <w:rsid w:val="1FAB0DE1"/>
    <w:rsid w:val="1FB16382"/>
    <w:rsid w:val="1FB5190D"/>
    <w:rsid w:val="1FBB6186"/>
    <w:rsid w:val="1FCF6E73"/>
    <w:rsid w:val="1FD20711"/>
    <w:rsid w:val="1FD55B0C"/>
    <w:rsid w:val="1FD91AA0"/>
    <w:rsid w:val="1FD9558D"/>
    <w:rsid w:val="1FE461F5"/>
    <w:rsid w:val="1FE67D19"/>
    <w:rsid w:val="1FF37588"/>
    <w:rsid w:val="1FF57F5C"/>
    <w:rsid w:val="1FF65033"/>
    <w:rsid w:val="1FF73CD4"/>
    <w:rsid w:val="1FFC12EA"/>
    <w:rsid w:val="20052895"/>
    <w:rsid w:val="200F101E"/>
    <w:rsid w:val="20124FB2"/>
    <w:rsid w:val="201523AC"/>
    <w:rsid w:val="201E74B3"/>
    <w:rsid w:val="202076CF"/>
    <w:rsid w:val="20210D51"/>
    <w:rsid w:val="20250841"/>
    <w:rsid w:val="203171E6"/>
    <w:rsid w:val="203942EC"/>
    <w:rsid w:val="203B0065"/>
    <w:rsid w:val="204C4020"/>
    <w:rsid w:val="204D7D98"/>
    <w:rsid w:val="205729C5"/>
    <w:rsid w:val="205E1FA5"/>
    <w:rsid w:val="20601879"/>
    <w:rsid w:val="2062790D"/>
    <w:rsid w:val="20653333"/>
    <w:rsid w:val="20673BF6"/>
    <w:rsid w:val="20684BD2"/>
    <w:rsid w:val="206C021E"/>
    <w:rsid w:val="206C6470"/>
    <w:rsid w:val="206D3F96"/>
    <w:rsid w:val="206E238A"/>
    <w:rsid w:val="2076109D"/>
    <w:rsid w:val="207A33E8"/>
    <w:rsid w:val="207D067D"/>
    <w:rsid w:val="20855784"/>
    <w:rsid w:val="20857532"/>
    <w:rsid w:val="208F48EB"/>
    <w:rsid w:val="20915ED7"/>
    <w:rsid w:val="20946068"/>
    <w:rsid w:val="209812E5"/>
    <w:rsid w:val="20A025BE"/>
    <w:rsid w:val="20A20901"/>
    <w:rsid w:val="20A40BF1"/>
    <w:rsid w:val="20A51982"/>
    <w:rsid w:val="20AE6A88"/>
    <w:rsid w:val="20B425AE"/>
    <w:rsid w:val="20B9542D"/>
    <w:rsid w:val="20BB733B"/>
    <w:rsid w:val="20C20786"/>
    <w:rsid w:val="20C52024"/>
    <w:rsid w:val="20CC6F0F"/>
    <w:rsid w:val="20D65FDF"/>
    <w:rsid w:val="20DB53A4"/>
    <w:rsid w:val="20DF4E94"/>
    <w:rsid w:val="20E701EC"/>
    <w:rsid w:val="20E91E77"/>
    <w:rsid w:val="20F070A1"/>
    <w:rsid w:val="20F52909"/>
    <w:rsid w:val="20F85F56"/>
    <w:rsid w:val="20FB5A46"/>
    <w:rsid w:val="21020B82"/>
    <w:rsid w:val="21026DD4"/>
    <w:rsid w:val="210B5C89"/>
    <w:rsid w:val="210E39CB"/>
    <w:rsid w:val="210E7527"/>
    <w:rsid w:val="2118144F"/>
    <w:rsid w:val="211A7117"/>
    <w:rsid w:val="211D3C0E"/>
    <w:rsid w:val="21237EB6"/>
    <w:rsid w:val="21240AF9"/>
    <w:rsid w:val="21294361"/>
    <w:rsid w:val="212E3725"/>
    <w:rsid w:val="213172AB"/>
    <w:rsid w:val="21354AB4"/>
    <w:rsid w:val="21374CD0"/>
    <w:rsid w:val="213B4094"/>
    <w:rsid w:val="213D1BBA"/>
    <w:rsid w:val="213D7E0C"/>
    <w:rsid w:val="21442F49"/>
    <w:rsid w:val="215118DE"/>
    <w:rsid w:val="21542F57"/>
    <w:rsid w:val="21577120"/>
    <w:rsid w:val="215A6C10"/>
    <w:rsid w:val="215B0293"/>
    <w:rsid w:val="215D225D"/>
    <w:rsid w:val="215D400B"/>
    <w:rsid w:val="215F7D83"/>
    <w:rsid w:val="21613AFB"/>
    <w:rsid w:val="216358B4"/>
    <w:rsid w:val="216435EB"/>
    <w:rsid w:val="216D06F2"/>
    <w:rsid w:val="21703D3E"/>
    <w:rsid w:val="21710006"/>
    <w:rsid w:val="21751354"/>
    <w:rsid w:val="217B58C7"/>
    <w:rsid w:val="21837F15"/>
    <w:rsid w:val="21843C8D"/>
    <w:rsid w:val="21867A05"/>
    <w:rsid w:val="21871088"/>
    <w:rsid w:val="218944CA"/>
    <w:rsid w:val="218A287D"/>
    <w:rsid w:val="218B53BC"/>
    <w:rsid w:val="218C669E"/>
    <w:rsid w:val="218F1280"/>
    <w:rsid w:val="21930481"/>
    <w:rsid w:val="2197751D"/>
    <w:rsid w:val="219F2875"/>
    <w:rsid w:val="21A63C04"/>
    <w:rsid w:val="21AA4E00"/>
    <w:rsid w:val="21B55BF5"/>
    <w:rsid w:val="21B7196D"/>
    <w:rsid w:val="21BE2CFB"/>
    <w:rsid w:val="21BF4CC5"/>
    <w:rsid w:val="21BF6A73"/>
    <w:rsid w:val="21CD1190"/>
    <w:rsid w:val="21D818E3"/>
    <w:rsid w:val="21DC74BF"/>
    <w:rsid w:val="21E309B4"/>
    <w:rsid w:val="21E30AD6"/>
    <w:rsid w:val="21E32762"/>
    <w:rsid w:val="21E93AF0"/>
    <w:rsid w:val="21EF7359"/>
    <w:rsid w:val="21F259FA"/>
    <w:rsid w:val="21F7321C"/>
    <w:rsid w:val="21FE759C"/>
    <w:rsid w:val="22081361"/>
    <w:rsid w:val="220B4CD0"/>
    <w:rsid w:val="221A1EFC"/>
    <w:rsid w:val="221B63A0"/>
    <w:rsid w:val="221E379A"/>
    <w:rsid w:val="221F7512"/>
    <w:rsid w:val="223018D6"/>
    <w:rsid w:val="2232017D"/>
    <w:rsid w:val="22356D36"/>
    <w:rsid w:val="22370D00"/>
    <w:rsid w:val="223B259E"/>
    <w:rsid w:val="224240C3"/>
    <w:rsid w:val="224446EA"/>
    <w:rsid w:val="22460F43"/>
    <w:rsid w:val="224A458F"/>
    <w:rsid w:val="224F429B"/>
    <w:rsid w:val="22524CB3"/>
    <w:rsid w:val="225673D8"/>
    <w:rsid w:val="225D0766"/>
    <w:rsid w:val="225E44DE"/>
    <w:rsid w:val="2260049A"/>
    <w:rsid w:val="226F3FF6"/>
    <w:rsid w:val="22765384"/>
    <w:rsid w:val="2276660D"/>
    <w:rsid w:val="227B5090"/>
    <w:rsid w:val="227E06DD"/>
    <w:rsid w:val="22873A35"/>
    <w:rsid w:val="22943A5C"/>
    <w:rsid w:val="229D6DB5"/>
    <w:rsid w:val="22A5044E"/>
    <w:rsid w:val="22A5210D"/>
    <w:rsid w:val="22A7378F"/>
    <w:rsid w:val="22A939AB"/>
    <w:rsid w:val="22AC1F65"/>
    <w:rsid w:val="22AD4B1E"/>
    <w:rsid w:val="22AF4D3A"/>
    <w:rsid w:val="22AF6AE8"/>
    <w:rsid w:val="22B12860"/>
    <w:rsid w:val="22B73BA4"/>
    <w:rsid w:val="22BB4743"/>
    <w:rsid w:val="22BB548D"/>
    <w:rsid w:val="22BD1205"/>
    <w:rsid w:val="22C75BE0"/>
    <w:rsid w:val="22C97BAA"/>
    <w:rsid w:val="22CA56D0"/>
    <w:rsid w:val="22CF0F38"/>
    <w:rsid w:val="22D30A28"/>
    <w:rsid w:val="22D402FC"/>
    <w:rsid w:val="22E27404"/>
    <w:rsid w:val="22E9024C"/>
    <w:rsid w:val="22ED612D"/>
    <w:rsid w:val="22F16BE4"/>
    <w:rsid w:val="22F32E79"/>
    <w:rsid w:val="22F34C27"/>
    <w:rsid w:val="22F4274D"/>
    <w:rsid w:val="22F56BF1"/>
    <w:rsid w:val="22F866E1"/>
    <w:rsid w:val="22FD253A"/>
    <w:rsid w:val="230010F2"/>
    <w:rsid w:val="23007343"/>
    <w:rsid w:val="230230BC"/>
    <w:rsid w:val="230C3F3A"/>
    <w:rsid w:val="230C55E7"/>
    <w:rsid w:val="230D7DB3"/>
    <w:rsid w:val="23103A2A"/>
    <w:rsid w:val="23111551"/>
    <w:rsid w:val="23130E25"/>
    <w:rsid w:val="23137077"/>
    <w:rsid w:val="23166B67"/>
    <w:rsid w:val="231921B3"/>
    <w:rsid w:val="231A6657"/>
    <w:rsid w:val="231B23CF"/>
    <w:rsid w:val="232272BA"/>
    <w:rsid w:val="23290648"/>
    <w:rsid w:val="232958E5"/>
    <w:rsid w:val="232A43C0"/>
    <w:rsid w:val="232C638A"/>
    <w:rsid w:val="232E7E9B"/>
    <w:rsid w:val="233314C7"/>
    <w:rsid w:val="23353491"/>
    <w:rsid w:val="23360FB7"/>
    <w:rsid w:val="233B1741"/>
    <w:rsid w:val="233C22E0"/>
    <w:rsid w:val="233C481F"/>
    <w:rsid w:val="233D0598"/>
    <w:rsid w:val="234856C5"/>
    <w:rsid w:val="23490CEA"/>
    <w:rsid w:val="234B4A63"/>
    <w:rsid w:val="234F5BD5"/>
    <w:rsid w:val="23503E27"/>
    <w:rsid w:val="2351194D"/>
    <w:rsid w:val="23517B9F"/>
    <w:rsid w:val="235F3894"/>
    <w:rsid w:val="23607DE2"/>
    <w:rsid w:val="23616034"/>
    <w:rsid w:val="2366364A"/>
    <w:rsid w:val="2369138D"/>
    <w:rsid w:val="236B0C61"/>
    <w:rsid w:val="236C6787"/>
    <w:rsid w:val="236D2C2B"/>
    <w:rsid w:val="23706277"/>
    <w:rsid w:val="237D0994"/>
    <w:rsid w:val="23812232"/>
    <w:rsid w:val="238241FC"/>
    <w:rsid w:val="23897339"/>
    <w:rsid w:val="238B30B1"/>
    <w:rsid w:val="238B4E5F"/>
    <w:rsid w:val="238E0DF3"/>
    <w:rsid w:val="23971A56"/>
    <w:rsid w:val="239C706C"/>
    <w:rsid w:val="239D1036"/>
    <w:rsid w:val="239F090A"/>
    <w:rsid w:val="239F6B5C"/>
    <w:rsid w:val="23A128D5"/>
    <w:rsid w:val="23AD1279"/>
    <w:rsid w:val="23B02B18"/>
    <w:rsid w:val="23B51913"/>
    <w:rsid w:val="23BC3A5B"/>
    <w:rsid w:val="23C33983"/>
    <w:rsid w:val="23C860B3"/>
    <w:rsid w:val="23CB7951"/>
    <w:rsid w:val="23D033B6"/>
    <w:rsid w:val="23D664E4"/>
    <w:rsid w:val="23DC390D"/>
    <w:rsid w:val="23DE7685"/>
    <w:rsid w:val="23E718EE"/>
    <w:rsid w:val="23ED5B1A"/>
    <w:rsid w:val="23F01166"/>
    <w:rsid w:val="23F21382"/>
    <w:rsid w:val="23F30C56"/>
    <w:rsid w:val="23F724F4"/>
    <w:rsid w:val="23F92711"/>
    <w:rsid w:val="24002495"/>
    <w:rsid w:val="2403533D"/>
    <w:rsid w:val="24044C11"/>
    <w:rsid w:val="240864B0"/>
    <w:rsid w:val="240B2444"/>
    <w:rsid w:val="24150BCD"/>
    <w:rsid w:val="2418246B"/>
    <w:rsid w:val="241F1A4B"/>
    <w:rsid w:val="24213A15"/>
    <w:rsid w:val="24266155"/>
    <w:rsid w:val="24280900"/>
    <w:rsid w:val="24283596"/>
    <w:rsid w:val="242B219E"/>
    <w:rsid w:val="242F7EE0"/>
    <w:rsid w:val="2432177F"/>
    <w:rsid w:val="243601AA"/>
    <w:rsid w:val="24374FE7"/>
    <w:rsid w:val="243A49E3"/>
    <w:rsid w:val="243F6497"/>
    <w:rsid w:val="24417C14"/>
    <w:rsid w:val="24431BDE"/>
    <w:rsid w:val="2443573A"/>
    <w:rsid w:val="245060A9"/>
    <w:rsid w:val="245108D2"/>
    <w:rsid w:val="2451716B"/>
    <w:rsid w:val="2455546D"/>
    <w:rsid w:val="245931AF"/>
    <w:rsid w:val="245F009A"/>
    <w:rsid w:val="24661428"/>
    <w:rsid w:val="246A0F18"/>
    <w:rsid w:val="246A53BC"/>
    <w:rsid w:val="246A716A"/>
    <w:rsid w:val="246E29A5"/>
    <w:rsid w:val="24763D61"/>
    <w:rsid w:val="247679F6"/>
    <w:rsid w:val="247753E3"/>
    <w:rsid w:val="24782AD4"/>
    <w:rsid w:val="247E2C16"/>
    <w:rsid w:val="247E78C9"/>
    <w:rsid w:val="248144B4"/>
    <w:rsid w:val="248720BC"/>
    <w:rsid w:val="248C6D6D"/>
    <w:rsid w:val="248F6BD1"/>
    <w:rsid w:val="2492221D"/>
    <w:rsid w:val="24961D0D"/>
    <w:rsid w:val="24997A50"/>
    <w:rsid w:val="249A1C21"/>
    <w:rsid w:val="249B37C8"/>
    <w:rsid w:val="24A863B5"/>
    <w:rsid w:val="24AD7057"/>
    <w:rsid w:val="24AF4B7D"/>
    <w:rsid w:val="24B6415E"/>
    <w:rsid w:val="24B714CA"/>
    <w:rsid w:val="24B71C84"/>
    <w:rsid w:val="24BA48EF"/>
    <w:rsid w:val="24BB79C6"/>
    <w:rsid w:val="24C148B0"/>
    <w:rsid w:val="24C41DFA"/>
    <w:rsid w:val="24D17776"/>
    <w:rsid w:val="24D740D4"/>
    <w:rsid w:val="24D9609E"/>
    <w:rsid w:val="24E011DB"/>
    <w:rsid w:val="24EC4023"/>
    <w:rsid w:val="24F20F0E"/>
    <w:rsid w:val="24FB4266"/>
    <w:rsid w:val="24FD3B3B"/>
    <w:rsid w:val="25001CF4"/>
    <w:rsid w:val="2500362B"/>
    <w:rsid w:val="250749B9"/>
    <w:rsid w:val="25090731"/>
    <w:rsid w:val="250C42C4"/>
    <w:rsid w:val="250E05A3"/>
    <w:rsid w:val="25115838"/>
    <w:rsid w:val="251175E6"/>
    <w:rsid w:val="251B66B7"/>
    <w:rsid w:val="25203CCD"/>
    <w:rsid w:val="25205A7B"/>
    <w:rsid w:val="25207829"/>
    <w:rsid w:val="252E1F46"/>
    <w:rsid w:val="2531393D"/>
    <w:rsid w:val="253F23A5"/>
    <w:rsid w:val="25461985"/>
    <w:rsid w:val="25493224"/>
    <w:rsid w:val="254A2AF8"/>
    <w:rsid w:val="254E25E8"/>
    <w:rsid w:val="255319AC"/>
    <w:rsid w:val="255816B9"/>
    <w:rsid w:val="255F65A3"/>
    <w:rsid w:val="256040C9"/>
    <w:rsid w:val="256242E5"/>
    <w:rsid w:val="25657932"/>
    <w:rsid w:val="25665B84"/>
    <w:rsid w:val="256A4F48"/>
    <w:rsid w:val="257B0F03"/>
    <w:rsid w:val="2584425C"/>
    <w:rsid w:val="25867FD4"/>
    <w:rsid w:val="258E50DA"/>
    <w:rsid w:val="25A55F80"/>
    <w:rsid w:val="25AB3B32"/>
    <w:rsid w:val="25B52667"/>
    <w:rsid w:val="25B83F05"/>
    <w:rsid w:val="25C66622"/>
    <w:rsid w:val="25CB34D2"/>
    <w:rsid w:val="25CC0F82"/>
    <w:rsid w:val="25CD5C03"/>
    <w:rsid w:val="25CD6CF6"/>
    <w:rsid w:val="25CE54D7"/>
    <w:rsid w:val="25D23219"/>
    <w:rsid w:val="25D7082F"/>
    <w:rsid w:val="25DC5E46"/>
    <w:rsid w:val="25DF3FB4"/>
    <w:rsid w:val="25E116AE"/>
    <w:rsid w:val="25E47988"/>
    <w:rsid w:val="25E92311"/>
    <w:rsid w:val="25F4209D"/>
    <w:rsid w:val="25F86917"/>
    <w:rsid w:val="25FC3DF2"/>
    <w:rsid w:val="26000619"/>
    <w:rsid w:val="26061115"/>
    <w:rsid w:val="260B2287"/>
    <w:rsid w:val="26123616"/>
    <w:rsid w:val="26137398"/>
    <w:rsid w:val="26153106"/>
    <w:rsid w:val="261A696E"/>
    <w:rsid w:val="261C26E6"/>
    <w:rsid w:val="261C6242"/>
    <w:rsid w:val="261E52E3"/>
    <w:rsid w:val="26233A75"/>
    <w:rsid w:val="262A4E03"/>
    <w:rsid w:val="262D6DBD"/>
    <w:rsid w:val="26305FB7"/>
    <w:rsid w:val="26330B91"/>
    <w:rsid w:val="263712CE"/>
    <w:rsid w:val="263A0DBE"/>
    <w:rsid w:val="263E08AF"/>
    <w:rsid w:val="26404627"/>
    <w:rsid w:val="26413EFB"/>
    <w:rsid w:val="26485289"/>
    <w:rsid w:val="264D0AF2"/>
    <w:rsid w:val="264D464E"/>
    <w:rsid w:val="265005E2"/>
    <w:rsid w:val="26527EB6"/>
    <w:rsid w:val="26541E80"/>
    <w:rsid w:val="2657371E"/>
    <w:rsid w:val="265C6F87"/>
    <w:rsid w:val="2661459D"/>
    <w:rsid w:val="26667E05"/>
    <w:rsid w:val="26681488"/>
    <w:rsid w:val="26695200"/>
    <w:rsid w:val="266A16A4"/>
    <w:rsid w:val="266B541C"/>
    <w:rsid w:val="26795443"/>
    <w:rsid w:val="267A11BB"/>
    <w:rsid w:val="267F67D1"/>
    <w:rsid w:val="26812549"/>
    <w:rsid w:val="268564DD"/>
    <w:rsid w:val="268F4C66"/>
    <w:rsid w:val="26906C30"/>
    <w:rsid w:val="26946721"/>
    <w:rsid w:val="26977FBF"/>
    <w:rsid w:val="26993D37"/>
    <w:rsid w:val="269D3BA8"/>
    <w:rsid w:val="269E30FB"/>
    <w:rsid w:val="26A56238"/>
    <w:rsid w:val="26A83F7A"/>
    <w:rsid w:val="26AC220D"/>
    <w:rsid w:val="26AE3B4C"/>
    <w:rsid w:val="26BB3CAD"/>
    <w:rsid w:val="26C41154"/>
    <w:rsid w:val="26C62652"/>
    <w:rsid w:val="26CC7C68"/>
    <w:rsid w:val="26CD578F"/>
    <w:rsid w:val="26CE68E1"/>
    <w:rsid w:val="26CF6A37"/>
    <w:rsid w:val="26D0702D"/>
    <w:rsid w:val="26D22DA5"/>
    <w:rsid w:val="26D62895"/>
    <w:rsid w:val="26D92385"/>
    <w:rsid w:val="26DD1E76"/>
    <w:rsid w:val="26DD2DED"/>
    <w:rsid w:val="26DD6BEE"/>
    <w:rsid w:val="26DE799C"/>
    <w:rsid w:val="26E1123A"/>
    <w:rsid w:val="26E66850"/>
    <w:rsid w:val="26E825C8"/>
    <w:rsid w:val="26ED7BDF"/>
    <w:rsid w:val="26EF3957"/>
    <w:rsid w:val="26F176CF"/>
    <w:rsid w:val="26F251F5"/>
    <w:rsid w:val="26F61189"/>
    <w:rsid w:val="26FC7E22"/>
    <w:rsid w:val="26FD2518"/>
    <w:rsid w:val="270311B0"/>
    <w:rsid w:val="270513CC"/>
    <w:rsid w:val="2707402B"/>
    <w:rsid w:val="27084A19"/>
    <w:rsid w:val="270A69E3"/>
    <w:rsid w:val="2711570C"/>
    <w:rsid w:val="271909D4"/>
    <w:rsid w:val="271B474C"/>
    <w:rsid w:val="2725381D"/>
    <w:rsid w:val="272555CB"/>
    <w:rsid w:val="272A498F"/>
    <w:rsid w:val="27351CB2"/>
    <w:rsid w:val="27377C59"/>
    <w:rsid w:val="27392E24"/>
    <w:rsid w:val="27400656"/>
    <w:rsid w:val="27441EF5"/>
    <w:rsid w:val="27483067"/>
    <w:rsid w:val="274A5031"/>
    <w:rsid w:val="274A6DDF"/>
    <w:rsid w:val="275A1718"/>
    <w:rsid w:val="27624129"/>
    <w:rsid w:val="276415E7"/>
    <w:rsid w:val="276854B7"/>
    <w:rsid w:val="2769195B"/>
    <w:rsid w:val="27693709"/>
    <w:rsid w:val="276C144B"/>
    <w:rsid w:val="276C31F9"/>
    <w:rsid w:val="276F6846"/>
    <w:rsid w:val="2772005B"/>
    <w:rsid w:val="27734588"/>
    <w:rsid w:val="27750300"/>
    <w:rsid w:val="277A5916"/>
    <w:rsid w:val="277F0B43"/>
    <w:rsid w:val="27802801"/>
    <w:rsid w:val="27840543"/>
    <w:rsid w:val="27863FFC"/>
    <w:rsid w:val="27870033"/>
    <w:rsid w:val="278A3680"/>
    <w:rsid w:val="278C564A"/>
    <w:rsid w:val="278E4F1E"/>
    <w:rsid w:val="279465CA"/>
    <w:rsid w:val="27A40BE5"/>
    <w:rsid w:val="27A91D58"/>
    <w:rsid w:val="27A961FC"/>
    <w:rsid w:val="27B0758A"/>
    <w:rsid w:val="27B506FD"/>
    <w:rsid w:val="27BC5F2F"/>
    <w:rsid w:val="27BD3A55"/>
    <w:rsid w:val="27BD5803"/>
    <w:rsid w:val="27C22E19"/>
    <w:rsid w:val="27C60B5C"/>
    <w:rsid w:val="27CB6172"/>
    <w:rsid w:val="27CF05B7"/>
    <w:rsid w:val="27D05536"/>
    <w:rsid w:val="27D50D9F"/>
    <w:rsid w:val="27DA0163"/>
    <w:rsid w:val="27DF1C1D"/>
    <w:rsid w:val="27E5180D"/>
    <w:rsid w:val="27E72880"/>
    <w:rsid w:val="27E92A9C"/>
    <w:rsid w:val="27EF3D12"/>
    <w:rsid w:val="27F51A4F"/>
    <w:rsid w:val="27FA56CA"/>
    <w:rsid w:val="280451E0"/>
    <w:rsid w:val="28074CD0"/>
    <w:rsid w:val="280B1C4F"/>
    <w:rsid w:val="280F7F64"/>
    <w:rsid w:val="2815563F"/>
    <w:rsid w:val="281713B7"/>
    <w:rsid w:val="28177609"/>
    <w:rsid w:val="28292E99"/>
    <w:rsid w:val="282B09BF"/>
    <w:rsid w:val="282E2A25"/>
    <w:rsid w:val="282F56E5"/>
    <w:rsid w:val="283006CB"/>
    <w:rsid w:val="28305FD5"/>
    <w:rsid w:val="283A6E54"/>
    <w:rsid w:val="284303FE"/>
    <w:rsid w:val="284D6B87"/>
    <w:rsid w:val="285919D0"/>
    <w:rsid w:val="28595263"/>
    <w:rsid w:val="286640ED"/>
    <w:rsid w:val="28665E9B"/>
    <w:rsid w:val="28681C13"/>
    <w:rsid w:val="286E6AFD"/>
    <w:rsid w:val="286F2FA1"/>
    <w:rsid w:val="28700AC7"/>
    <w:rsid w:val="28702875"/>
    <w:rsid w:val="28724840"/>
    <w:rsid w:val="287252B6"/>
    <w:rsid w:val="287700A8"/>
    <w:rsid w:val="287C56BE"/>
    <w:rsid w:val="287E1436"/>
    <w:rsid w:val="28844573"/>
    <w:rsid w:val="288B76AF"/>
    <w:rsid w:val="288C3979"/>
    <w:rsid w:val="28920A3E"/>
    <w:rsid w:val="28976054"/>
    <w:rsid w:val="289B740D"/>
    <w:rsid w:val="289E3886"/>
    <w:rsid w:val="28A10C81"/>
    <w:rsid w:val="28A15125"/>
    <w:rsid w:val="28A40771"/>
    <w:rsid w:val="28A864B3"/>
    <w:rsid w:val="28AA222B"/>
    <w:rsid w:val="28B05368"/>
    <w:rsid w:val="28C11323"/>
    <w:rsid w:val="28C52BC1"/>
    <w:rsid w:val="28C57065"/>
    <w:rsid w:val="28C80903"/>
    <w:rsid w:val="28CB21A2"/>
    <w:rsid w:val="28CD1A76"/>
    <w:rsid w:val="28D21782"/>
    <w:rsid w:val="28D252DE"/>
    <w:rsid w:val="28D7264F"/>
    <w:rsid w:val="28DE1ED5"/>
    <w:rsid w:val="28DE3C83"/>
    <w:rsid w:val="28ED2118"/>
    <w:rsid w:val="28F039B6"/>
    <w:rsid w:val="28F45255"/>
    <w:rsid w:val="28F47F99"/>
    <w:rsid w:val="2903193C"/>
    <w:rsid w:val="290851A4"/>
    <w:rsid w:val="29086F52"/>
    <w:rsid w:val="290D4568"/>
    <w:rsid w:val="29115E06"/>
    <w:rsid w:val="29121B7F"/>
    <w:rsid w:val="291D0C4F"/>
    <w:rsid w:val="29231FDE"/>
    <w:rsid w:val="2927562A"/>
    <w:rsid w:val="2928471F"/>
    <w:rsid w:val="292C0E92"/>
    <w:rsid w:val="29310257"/>
    <w:rsid w:val="2931140B"/>
    <w:rsid w:val="293164A9"/>
    <w:rsid w:val="29341AF5"/>
    <w:rsid w:val="293715E5"/>
    <w:rsid w:val="29381B9B"/>
    <w:rsid w:val="29387837"/>
    <w:rsid w:val="293D309F"/>
    <w:rsid w:val="2940049A"/>
    <w:rsid w:val="29420CFC"/>
    <w:rsid w:val="29471828"/>
    <w:rsid w:val="29475CCC"/>
    <w:rsid w:val="294E705B"/>
    <w:rsid w:val="2951197D"/>
    <w:rsid w:val="29567CBD"/>
    <w:rsid w:val="295D1C7A"/>
    <w:rsid w:val="295E6B72"/>
    <w:rsid w:val="295F078B"/>
    <w:rsid w:val="296323DA"/>
    <w:rsid w:val="2964687E"/>
    <w:rsid w:val="29673C78"/>
    <w:rsid w:val="296E3259"/>
    <w:rsid w:val="29713FC2"/>
    <w:rsid w:val="29736AC1"/>
    <w:rsid w:val="2976035F"/>
    <w:rsid w:val="2977525D"/>
    <w:rsid w:val="297840D8"/>
    <w:rsid w:val="29787C34"/>
    <w:rsid w:val="297B7724"/>
    <w:rsid w:val="29804D3A"/>
    <w:rsid w:val="29835A94"/>
    <w:rsid w:val="29891E41"/>
    <w:rsid w:val="298E7457"/>
    <w:rsid w:val="29954C89"/>
    <w:rsid w:val="29995DFC"/>
    <w:rsid w:val="29A21154"/>
    <w:rsid w:val="29A50C45"/>
    <w:rsid w:val="29A749BD"/>
    <w:rsid w:val="29A94D9A"/>
    <w:rsid w:val="29AB625B"/>
    <w:rsid w:val="29B6436D"/>
    <w:rsid w:val="29B80978"/>
    <w:rsid w:val="29B9024C"/>
    <w:rsid w:val="29BD7D3C"/>
    <w:rsid w:val="29C4731D"/>
    <w:rsid w:val="29C9048F"/>
    <w:rsid w:val="29CC4423"/>
    <w:rsid w:val="29CC7F7F"/>
    <w:rsid w:val="29D1384F"/>
    <w:rsid w:val="29D357B2"/>
    <w:rsid w:val="29D62BAC"/>
    <w:rsid w:val="29D63797"/>
    <w:rsid w:val="29D663D9"/>
    <w:rsid w:val="29D67050"/>
    <w:rsid w:val="29D97F23"/>
    <w:rsid w:val="29DA08EE"/>
    <w:rsid w:val="29DD03DE"/>
    <w:rsid w:val="29E057D9"/>
    <w:rsid w:val="29E4351B"/>
    <w:rsid w:val="29E60281"/>
    <w:rsid w:val="29E74DB9"/>
    <w:rsid w:val="29EC0622"/>
    <w:rsid w:val="29EE439A"/>
    <w:rsid w:val="29F37C02"/>
    <w:rsid w:val="29FA0F90"/>
    <w:rsid w:val="2A0616E3"/>
    <w:rsid w:val="2A094D30"/>
    <w:rsid w:val="2A0B0AA8"/>
    <w:rsid w:val="2A0B4F4C"/>
    <w:rsid w:val="2A0D0CC4"/>
    <w:rsid w:val="2A102562"/>
    <w:rsid w:val="2A1262DA"/>
    <w:rsid w:val="2A13795C"/>
    <w:rsid w:val="2A1F27A5"/>
    <w:rsid w:val="2A263B34"/>
    <w:rsid w:val="2A2E29E8"/>
    <w:rsid w:val="2A2E4796"/>
    <w:rsid w:val="2A32523A"/>
    <w:rsid w:val="2A375015"/>
    <w:rsid w:val="2A383867"/>
    <w:rsid w:val="2A410C98"/>
    <w:rsid w:val="2A4144C9"/>
    <w:rsid w:val="2A437712"/>
    <w:rsid w:val="2A465F84"/>
    <w:rsid w:val="2A497822"/>
    <w:rsid w:val="2A4B17EC"/>
    <w:rsid w:val="2A4E3DC4"/>
    <w:rsid w:val="2A4E4E38"/>
    <w:rsid w:val="2A4E6BE6"/>
    <w:rsid w:val="2A524929"/>
    <w:rsid w:val="2A5266D7"/>
    <w:rsid w:val="2A5306A1"/>
    <w:rsid w:val="2A5A12BB"/>
    <w:rsid w:val="2A5F2BA2"/>
    <w:rsid w:val="2A60145B"/>
    <w:rsid w:val="2A622692"/>
    <w:rsid w:val="2A697EC4"/>
    <w:rsid w:val="2A6E7289"/>
    <w:rsid w:val="2A701253"/>
    <w:rsid w:val="2A82175A"/>
    <w:rsid w:val="2A832D34"/>
    <w:rsid w:val="2A851D89"/>
    <w:rsid w:val="2A8D3BB3"/>
    <w:rsid w:val="2A9211C9"/>
    <w:rsid w:val="2A944F41"/>
    <w:rsid w:val="2A952A67"/>
    <w:rsid w:val="2A992557"/>
    <w:rsid w:val="2A9A1E2C"/>
    <w:rsid w:val="2A9C3DF6"/>
    <w:rsid w:val="2A9F38E6"/>
    <w:rsid w:val="2A9F7442"/>
    <w:rsid w:val="2A9F7DB7"/>
    <w:rsid w:val="2AB47391"/>
    <w:rsid w:val="2AB95565"/>
    <w:rsid w:val="2AC1385C"/>
    <w:rsid w:val="2AC717C5"/>
    <w:rsid w:val="2AC86999"/>
    <w:rsid w:val="2ACD5C73"/>
    <w:rsid w:val="2AD01CF1"/>
    <w:rsid w:val="2ADE440E"/>
    <w:rsid w:val="2AE17A5A"/>
    <w:rsid w:val="2AE23BB4"/>
    <w:rsid w:val="2AE5754B"/>
    <w:rsid w:val="2AE9690F"/>
    <w:rsid w:val="2AEC6B2B"/>
    <w:rsid w:val="2AED2D78"/>
    <w:rsid w:val="2AF1638B"/>
    <w:rsid w:val="2AFB1DA3"/>
    <w:rsid w:val="2AFE685E"/>
    <w:rsid w:val="2B0379D1"/>
    <w:rsid w:val="2B053749"/>
    <w:rsid w:val="2B083239"/>
    <w:rsid w:val="2B0F281A"/>
    <w:rsid w:val="2B1471E9"/>
    <w:rsid w:val="2B193698"/>
    <w:rsid w:val="2B1C4F36"/>
    <w:rsid w:val="2B200583"/>
    <w:rsid w:val="2B2168FA"/>
    <w:rsid w:val="2B230073"/>
    <w:rsid w:val="2B3109E2"/>
    <w:rsid w:val="2B342280"/>
    <w:rsid w:val="2B345DDC"/>
    <w:rsid w:val="2B400C25"/>
    <w:rsid w:val="2B45448D"/>
    <w:rsid w:val="2B4A0FD7"/>
    <w:rsid w:val="2B4C2677"/>
    <w:rsid w:val="2B4D3342"/>
    <w:rsid w:val="2B533F79"/>
    <w:rsid w:val="2B5B161B"/>
    <w:rsid w:val="2B626DED"/>
    <w:rsid w:val="2B6366C1"/>
    <w:rsid w:val="2B64728F"/>
    <w:rsid w:val="2B722A15"/>
    <w:rsid w:val="2B7B3A0B"/>
    <w:rsid w:val="2B7E174D"/>
    <w:rsid w:val="2B8209DE"/>
    <w:rsid w:val="2B876854"/>
    <w:rsid w:val="2B8A1EA0"/>
    <w:rsid w:val="2B8C79C6"/>
    <w:rsid w:val="2B8E1990"/>
    <w:rsid w:val="2B942D1F"/>
    <w:rsid w:val="2B9603B4"/>
    <w:rsid w:val="2B98280F"/>
    <w:rsid w:val="2B99791F"/>
    <w:rsid w:val="2BA07916"/>
    <w:rsid w:val="2BA72A52"/>
    <w:rsid w:val="2BA73E43"/>
    <w:rsid w:val="2BB248C1"/>
    <w:rsid w:val="2BB4516F"/>
    <w:rsid w:val="2BBB474F"/>
    <w:rsid w:val="2BC2163A"/>
    <w:rsid w:val="2BC27F72"/>
    <w:rsid w:val="2BC90C1A"/>
    <w:rsid w:val="2BCA04EF"/>
    <w:rsid w:val="2BCC24B9"/>
    <w:rsid w:val="2BCE566B"/>
    <w:rsid w:val="2BCE6231"/>
    <w:rsid w:val="2BD1187D"/>
    <w:rsid w:val="2BD15D21"/>
    <w:rsid w:val="2BD33847"/>
    <w:rsid w:val="2BD80E5D"/>
    <w:rsid w:val="2BD9309E"/>
    <w:rsid w:val="2BDC7CE9"/>
    <w:rsid w:val="2BDF043E"/>
    <w:rsid w:val="2BE041B6"/>
    <w:rsid w:val="2BEB6DE3"/>
    <w:rsid w:val="2BF45ACD"/>
    <w:rsid w:val="2BF8505C"/>
    <w:rsid w:val="2C0159AA"/>
    <w:rsid w:val="2C016606"/>
    <w:rsid w:val="2C063C1D"/>
    <w:rsid w:val="2C077995"/>
    <w:rsid w:val="2C0A4D8F"/>
    <w:rsid w:val="2C0B6D4E"/>
    <w:rsid w:val="2C0C01DE"/>
    <w:rsid w:val="2C1529D1"/>
    <w:rsid w:val="2C155C0E"/>
    <w:rsid w:val="2C163734"/>
    <w:rsid w:val="2C1A1476"/>
    <w:rsid w:val="2C1E07A6"/>
    <w:rsid w:val="2C267E1B"/>
    <w:rsid w:val="2C2E3173"/>
    <w:rsid w:val="2C2E522F"/>
    <w:rsid w:val="2C2F4682"/>
    <w:rsid w:val="2C365B84"/>
    <w:rsid w:val="2C3D33B6"/>
    <w:rsid w:val="2C3D5164"/>
    <w:rsid w:val="2C46226B"/>
    <w:rsid w:val="2C477D91"/>
    <w:rsid w:val="2C4F42E8"/>
    <w:rsid w:val="2C534988"/>
    <w:rsid w:val="2C576226"/>
    <w:rsid w:val="2C5C1A8E"/>
    <w:rsid w:val="2C5F332D"/>
    <w:rsid w:val="2C666469"/>
    <w:rsid w:val="2C7072E8"/>
    <w:rsid w:val="2C714E0E"/>
    <w:rsid w:val="2C723060"/>
    <w:rsid w:val="2C730B86"/>
    <w:rsid w:val="2C736DD8"/>
    <w:rsid w:val="2C7E7C57"/>
    <w:rsid w:val="2C7F39CF"/>
    <w:rsid w:val="2C7F752B"/>
    <w:rsid w:val="2C8132A3"/>
    <w:rsid w:val="2C8E776E"/>
    <w:rsid w:val="2C9805ED"/>
    <w:rsid w:val="2C9E20A7"/>
    <w:rsid w:val="2C9F197B"/>
    <w:rsid w:val="2CA13945"/>
    <w:rsid w:val="2CA23219"/>
    <w:rsid w:val="2CA3146B"/>
    <w:rsid w:val="2CA60F5C"/>
    <w:rsid w:val="2CA64AB8"/>
    <w:rsid w:val="2CA65795"/>
    <w:rsid w:val="2CB2345D"/>
    <w:rsid w:val="2CBA1432"/>
    <w:rsid w:val="2CC15D95"/>
    <w:rsid w:val="2CC55886"/>
    <w:rsid w:val="2CC9787F"/>
    <w:rsid w:val="2CCA2E9C"/>
    <w:rsid w:val="2CCD0296"/>
    <w:rsid w:val="2CD21D51"/>
    <w:rsid w:val="2CE35D0C"/>
    <w:rsid w:val="2CE37ABA"/>
    <w:rsid w:val="2CE61358"/>
    <w:rsid w:val="2CED6B8B"/>
    <w:rsid w:val="2CF9108B"/>
    <w:rsid w:val="2CF950D6"/>
    <w:rsid w:val="2CFF241A"/>
    <w:rsid w:val="2D031F0A"/>
    <w:rsid w:val="2D0D29D1"/>
    <w:rsid w:val="2D0D4B37"/>
    <w:rsid w:val="2D102879"/>
    <w:rsid w:val="2D142369"/>
    <w:rsid w:val="2D145EC5"/>
    <w:rsid w:val="2D236108"/>
    <w:rsid w:val="2D2828D0"/>
    <w:rsid w:val="2D297E19"/>
    <w:rsid w:val="2D2B320F"/>
    <w:rsid w:val="2D2D6F87"/>
    <w:rsid w:val="2D35408E"/>
    <w:rsid w:val="2D430559"/>
    <w:rsid w:val="2D4367AA"/>
    <w:rsid w:val="2D462BBC"/>
    <w:rsid w:val="2D485B6F"/>
    <w:rsid w:val="2D507AFC"/>
    <w:rsid w:val="2D522E91"/>
    <w:rsid w:val="2D5C786C"/>
    <w:rsid w:val="2D5E1836"/>
    <w:rsid w:val="2D630916"/>
    <w:rsid w:val="2D6329A9"/>
    <w:rsid w:val="2D6706EB"/>
    <w:rsid w:val="2D687FBF"/>
    <w:rsid w:val="2D6913A6"/>
    <w:rsid w:val="2D6A1F89"/>
    <w:rsid w:val="2D6C3F53"/>
    <w:rsid w:val="2D6D7CCB"/>
    <w:rsid w:val="2D6F75A0"/>
    <w:rsid w:val="2D730B94"/>
    <w:rsid w:val="2D79041E"/>
    <w:rsid w:val="2D856DC3"/>
    <w:rsid w:val="2D8868B3"/>
    <w:rsid w:val="2D8C1F00"/>
    <w:rsid w:val="2D8D5C78"/>
    <w:rsid w:val="2D8E54E4"/>
    <w:rsid w:val="2D8F19F0"/>
    <w:rsid w:val="2D8F379E"/>
    <w:rsid w:val="2D914B0D"/>
    <w:rsid w:val="2D917516"/>
    <w:rsid w:val="2D9214E0"/>
    <w:rsid w:val="2D937732"/>
    <w:rsid w:val="2D984D48"/>
    <w:rsid w:val="2D986AF6"/>
    <w:rsid w:val="2D9C4F6B"/>
    <w:rsid w:val="2DA134D1"/>
    <w:rsid w:val="2DA90D03"/>
    <w:rsid w:val="2DAA682A"/>
    <w:rsid w:val="2DAC3027"/>
    <w:rsid w:val="2DAC4350"/>
    <w:rsid w:val="2DAF3E40"/>
    <w:rsid w:val="2DB15E0A"/>
    <w:rsid w:val="2DB465AC"/>
    <w:rsid w:val="2DB70319"/>
    <w:rsid w:val="2DB9081B"/>
    <w:rsid w:val="2DBB0A37"/>
    <w:rsid w:val="2DC378EB"/>
    <w:rsid w:val="2DCA68F9"/>
    <w:rsid w:val="2DCC49F2"/>
    <w:rsid w:val="2DD64087"/>
    <w:rsid w:val="2DD7516B"/>
    <w:rsid w:val="2DD85145"/>
    <w:rsid w:val="2DD92C6B"/>
    <w:rsid w:val="2DD9710F"/>
    <w:rsid w:val="2DDB69E3"/>
    <w:rsid w:val="2DE81100"/>
    <w:rsid w:val="2DEC22BD"/>
    <w:rsid w:val="2DED6716"/>
    <w:rsid w:val="2DEF06E0"/>
    <w:rsid w:val="2DF634CD"/>
    <w:rsid w:val="2DFB52D7"/>
    <w:rsid w:val="2DFB53DE"/>
    <w:rsid w:val="2E0221C2"/>
    <w:rsid w:val="2E063C32"/>
    <w:rsid w:val="2E075A2A"/>
    <w:rsid w:val="2E141EF5"/>
    <w:rsid w:val="2E1530F1"/>
    <w:rsid w:val="2E165FEC"/>
    <w:rsid w:val="2E19750B"/>
    <w:rsid w:val="2E1C08DB"/>
    <w:rsid w:val="2E1E0778"/>
    <w:rsid w:val="2E20089A"/>
    <w:rsid w:val="2E255EB0"/>
    <w:rsid w:val="2E293BF2"/>
    <w:rsid w:val="2E2959A0"/>
    <w:rsid w:val="2E34336C"/>
    <w:rsid w:val="2E3600BD"/>
    <w:rsid w:val="2E3A7BAD"/>
    <w:rsid w:val="2E3B3926"/>
    <w:rsid w:val="2E3D31FA"/>
    <w:rsid w:val="2E3D367F"/>
    <w:rsid w:val="2E3F3416"/>
    <w:rsid w:val="2E424CB4"/>
    <w:rsid w:val="2E4554DE"/>
    <w:rsid w:val="2E4865B6"/>
    <w:rsid w:val="2E4B79E6"/>
    <w:rsid w:val="2E4C78E1"/>
    <w:rsid w:val="2E50117F"/>
    <w:rsid w:val="2E516CA5"/>
    <w:rsid w:val="2E532A1D"/>
    <w:rsid w:val="2E556795"/>
    <w:rsid w:val="2E5844D8"/>
    <w:rsid w:val="2E600E98"/>
    <w:rsid w:val="2E6115DE"/>
    <w:rsid w:val="2E633B85"/>
    <w:rsid w:val="2E642E7C"/>
    <w:rsid w:val="2E652751"/>
    <w:rsid w:val="2E655ADE"/>
    <w:rsid w:val="2E666BF4"/>
    <w:rsid w:val="2E6B5FB9"/>
    <w:rsid w:val="2E76495E"/>
    <w:rsid w:val="2E7A26A0"/>
    <w:rsid w:val="2E7C28D5"/>
    <w:rsid w:val="2E7D7A9A"/>
    <w:rsid w:val="2E7F3812"/>
    <w:rsid w:val="2E813A2E"/>
    <w:rsid w:val="2E821554"/>
    <w:rsid w:val="2E8779E7"/>
    <w:rsid w:val="2E905A1F"/>
    <w:rsid w:val="2E940FAA"/>
    <w:rsid w:val="2E953036"/>
    <w:rsid w:val="2E954DE4"/>
    <w:rsid w:val="2E980D78"/>
    <w:rsid w:val="2E9D013C"/>
    <w:rsid w:val="2E9D638E"/>
    <w:rsid w:val="2EA00FD4"/>
    <w:rsid w:val="2EA17C2D"/>
    <w:rsid w:val="2EA63495"/>
    <w:rsid w:val="2EA72D69"/>
    <w:rsid w:val="2EB07460"/>
    <w:rsid w:val="2EB07E70"/>
    <w:rsid w:val="2EB3170E"/>
    <w:rsid w:val="2EB77450"/>
    <w:rsid w:val="2EBC05C2"/>
    <w:rsid w:val="2EBF6305"/>
    <w:rsid w:val="2EC26EA0"/>
    <w:rsid w:val="2EC27BA3"/>
    <w:rsid w:val="2EC456C9"/>
    <w:rsid w:val="2EC67693"/>
    <w:rsid w:val="2EC851B9"/>
    <w:rsid w:val="2EC97183"/>
    <w:rsid w:val="2ECB4CA9"/>
    <w:rsid w:val="2ECF6C02"/>
    <w:rsid w:val="2ED022C0"/>
    <w:rsid w:val="2EDA313F"/>
    <w:rsid w:val="2EE10029"/>
    <w:rsid w:val="2EE43FBD"/>
    <w:rsid w:val="2EE93382"/>
    <w:rsid w:val="2EF75A9F"/>
    <w:rsid w:val="2EF835C5"/>
    <w:rsid w:val="2EFF4953"/>
    <w:rsid w:val="2F0401BB"/>
    <w:rsid w:val="2F067A90"/>
    <w:rsid w:val="2F097580"/>
    <w:rsid w:val="2F161EEE"/>
    <w:rsid w:val="2F1A79DF"/>
    <w:rsid w:val="2F2A5E74"/>
    <w:rsid w:val="2F3565C7"/>
    <w:rsid w:val="2F3A3BDD"/>
    <w:rsid w:val="2F4800A8"/>
    <w:rsid w:val="2F48454C"/>
    <w:rsid w:val="2F4B49E0"/>
    <w:rsid w:val="2F503401"/>
    <w:rsid w:val="2F5352C4"/>
    <w:rsid w:val="2F5471D3"/>
    <w:rsid w:val="2F590507"/>
    <w:rsid w:val="2F5A7DDB"/>
    <w:rsid w:val="2F5E167A"/>
    <w:rsid w:val="2F634EE2"/>
    <w:rsid w:val="2F655284"/>
    <w:rsid w:val="2F6F1AD9"/>
    <w:rsid w:val="2F7013AD"/>
    <w:rsid w:val="2F79282F"/>
    <w:rsid w:val="2F7964B4"/>
    <w:rsid w:val="2F7A0DBE"/>
    <w:rsid w:val="2F803CE6"/>
    <w:rsid w:val="2F827680"/>
    <w:rsid w:val="2F8B1E73"/>
    <w:rsid w:val="2F950E14"/>
    <w:rsid w:val="2F9B0B20"/>
    <w:rsid w:val="2F9C03F4"/>
    <w:rsid w:val="2FA31782"/>
    <w:rsid w:val="2FAA0D63"/>
    <w:rsid w:val="2FAD0853"/>
    <w:rsid w:val="2FAF1ED5"/>
    <w:rsid w:val="2FB219C5"/>
    <w:rsid w:val="2FB614B6"/>
    <w:rsid w:val="2FC17E5A"/>
    <w:rsid w:val="2FC33BD3"/>
    <w:rsid w:val="2FD1009E"/>
    <w:rsid w:val="2FD23E16"/>
    <w:rsid w:val="2FD933F6"/>
    <w:rsid w:val="2FDB6DFB"/>
    <w:rsid w:val="2FDE27BA"/>
    <w:rsid w:val="2FE75B13"/>
    <w:rsid w:val="2FE97B1E"/>
    <w:rsid w:val="2FEF255F"/>
    <w:rsid w:val="2FEF6776"/>
    <w:rsid w:val="2FF124EE"/>
    <w:rsid w:val="2FF15575"/>
    <w:rsid w:val="2FF63FA8"/>
    <w:rsid w:val="2FF7387C"/>
    <w:rsid w:val="2FFB336C"/>
    <w:rsid w:val="30063B76"/>
    <w:rsid w:val="30063EE1"/>
    <w:rsid w:val="30093CDB"/>
    <w:rsid w:val="300A35B0"/>
    <w:rsid w:val="300C37CC"/>
    <w:rsid w:val="30197C97"/>
    <w:rsid w:val="301A2DFD"/>
    <w:rsid w:val="301B756B"/>
    <w:rsid w:val="301D32E3"/>
    <w:rsid w:val="301F34FF"/>
    <w:rsid w:val="30234671"/>
    <w:rsid w:val="30297EDA"/>
    <w:rsid w:val="302E3742"/>
    <w:rsid w:val="302F25DA"/>
    <w:rsid w:val="30313232"/>
    <w:rsid w:val="30316D8E"/>
    <w:rsid w:val="30354AD0"/>
    <w:rsid w:val="30393E95"/>
    <w:rsid w:val="303D1BD7"/>
    <w:rsid w:val="303D4A56"/>
    <w:rsid w:val="303F594F"/>
    <w:rsid w:val="30405223"/>
    <w:rsid w:val="30455DB9"/>
    <w:rsid w:val="30463939"/>
    <w:rsid w:val="30466CDD"/>
    <w:rsid w:val="30564A47"/>
    <w:rsid w:val="305807BF"/>
    <w:rsid w:val="3058422F"/>
    <w:rsid w:val="30586A11"/>
    <w:rsid w:val="305E56A9"/>
    <w:rsid w:val="306058C5"/>
    <w:rsid w:val="30640F12"/>
    <w:rsid w:val="306F6FE9"/>
    <w:rsid w:val="3071362F"/>
    <w:rsid w:val="30782C0F"/>
    <w:rsid w:val="307A24E3"/>
    <w:rsid w:val="307F7AFA"/>
    <w:rsid w:val="30894E1C"/>
    <w:rsid w:val="309061AB"/>
    <w:rsid w:val="30915A7F"/>
    <w:rsid w:val="30937A49"/>
    <w:rsid w:val="30977539"/>
    <w:rsid w:val="309F019C"/>
    <w:rsid w:val="309F63EE"/>
    <w:rsid w:val="30AC4667"/>
    <w:rsid w:val="30B21F41"/>
    <w:rsid w:val="30B359F5"/>
    <w:rsid w:val="30B60B6B"/>
    <w:rsid w:val="30B8300C"/>
    <w:rsid w:val="30C65728"/>
    <w:rsid w:val="30C9346B"/>
    <w:rsid w:val="30D00355"/>
    <w:rsid w:val="30D065A7"/>
    <w:rsid w:val="30D81900"/>
    <w:rsid w:val="30DA7426"/>
    <w:rsid w:val="30DD0CC4"/>
    <w:rsid w:val="30DD2A72"/>
    <w:rsid w:val="30E738F1"/>
    <w:rsid w:val="30E958BB"/>
    <w:rsid w:val="30F32296"/>
    <w:rsid w:val="30F524B2"/>
    <w:rsid w:val="30F5607D"/>
    <w:rsid w:val="30FC739C"/>
    <w:rsid w:val="30FE3B39"/>
    <w:rsid w:val="310C14BC"/>
    <w:rsid w:val="31181417"/>
    <w:rsid w:val="31197F4E"/>
    <w:rsid w:val="311A1F18"/>
    <w:rsid w:val="311A5A74"/>
    <w:rsid w:val="311A7D11"/>
    <w:rsid w:val="311F12DD"/>
    <w:rsid w:val="31215055"/>
    <w:rsid w:val="3123184A"/>
    <w:rsid w:val="31244B45"/>
    <w:rsid w:val="3126266B"/>
    <w:rsid w:val="31271F3F"/>
    <w:rsid w:val="31295CB7"/>
    <w:rsid w:val="312B3FDA"/>
    <w:rsid w:val="312B5ED3"/>
    <w:rsid w:val="312D1C4B"/>
    <w:rsid w:val="31307046"/>
    <w:rsid w:val="313E1763"/>
    <w:rsid w:val="31411253"/>
    <w:rsid w:val="31440D43"/>
    <w:rsid w:val="3148438F"/>
    <w:rsid w:val="314D19A6"/>
    <w:rsid w:val="31552F50"/>
    <w:rsid w:val="3159659D"/>
    <w:rsid w:val="315A3D9B"/>
    <w:rsid w:val="315E1E05"/>
    <w:rsid w:val="31603DCF"/>
    <w:rsid w:val="316118F5"/>
    <w:rsid w:val="316177D1"/>
    <w:rsid w:val="31666F0B"/>
    <w:rsid w:val="316D2048"/>
    <w:rsid w:val="31736456"/>
    <w:rsid w:val="317653A0"/>
    <w:rsid w:val="31771119"/>
    <w:rsid w:val="317F1D7B"/>
    <w:rsid w:val="31827DDA"/>
    <w:rsid w:val="318D26EA"/>
    <w:rsid w:val="318D4498"/>
    <w:rsid w:val="318D46C1"/>
    <w:rsid w:val="319C292D"/>
    <w:rsid w:val="319E0453"/>
    <w:rsid w:val="31A71A6F"/>
    <w:rsid w:val="31A8140B"/>
    <w:rsid w:val="31AD68E8"/>
    <w:rsid w:val="31B77767"/>
    <w:rsid w:val="31BD2FCF"/>
    <w:rsid w:val="31C61758"/>
    <w:rsid w:val="31CA56EC"/>
    <w:rsid w:val="31D245A1"/>
    <w:rsid w:val="31D377A0"/>
    <w:rsid w:val="31DB16A7"/>
    <w:rsid w:val="31E247E4"/>
    <w:rsid w:val="31E57E30"/>
    <w:rsid w:val="31E85B72"/>
    <w:rsid w:val="31EA2753"/>
    <w:rsid w:val="31ED3189"/>
    <w:rsid w:val="31F203BA"/>
    <w:rsid w:val="31F91B2E"/>
    <w:rsid w:val="31FB58A6"/>
    <w:rsid w:val="31FC517A"/>
    <w:rsid w:val="31FF437A"/>
    <w:rsid w:val="32036508"/>
    <w:rsid w:val="320F1351"/>
    <w:rsid w:val="320F30FF"/>
    <w:rsid w:val="32132BEF"/>
    <w:rsid w:val="32171FB4"/>
    <w:rsid w:val="32186458"/>
    <w:rsid w:val="321B5F48"/>
    <w:rsid w:val="321B7CF6"/>
    <w:rsid w:val="32226614"/>
    <w:rsid w:val="322C3CB1"/>
    <w:rsid w:val="322E5C7B"/>
    <w:rsid w:val="3236068C"/>
    <w:rsid w:val="323B2146"/>
    <w:rsid w:val="323B3EF4"/>
    <w:rsid w:val="324059AE"/>
    <w:rsid w:val="32427031"/>
    <w:rsid w:val="324F79A0"/>
    <w:rsid w:val="3251196A"/>
    <w:rsid w:val="32560D2E"/>
    <w:rsid w:val="325922B6"/>
    <w:rsid w:val="32594190"/>
    <w:rsid w:val="325A6A70"/>
    <w:rsid w:val="325D4D96"/>
    <w:rsid w:val="3264169D"/>
    <w:rsid w:val="32655415"/>
    <w:rsid w:val="32676A97"/>
    <w:rsid w:val="326C2300"/>
    <w:rsid w:val="326C67A3"/>
    <w:rsid w:val="326E7E26"/>
    <w:rsid w:val="32737B32"/>
    <w:rsid w:val="327C0898"/>
    <w:rsid w:val="327F2033"/>
    <w:rsid w:val="327F64D7"/>
    <w:rsid w:val="32881493"/>
    <w:rsid w:val="328C0BF4"/>
    <w:rsid w:val="328E691F"/>
    <w:rsid w:val="32904240"/>
    <w:rsid w:val="329A16D6"/>
    <w:rsid w:val="329F26D5"/>
    <w:rsid w:val="32A40559"/>
    <w:rsid w:val="32A73338"/>
    <w:rsid w:val="32AB72CC"/>
    <w:rsid w:val="32AD714D"/>
    <w:rsid w:val="32AE0B6A"/>
    <w:rsid w:val="32AE46C6"/>
    <w:rsid w:val="32B06690"/>
    <w:rsid w:val="32B51EF8"/>
    <w:rsid w:val="32B53CA7"/>
    <w:rsid w:val="32B5704D"/>
    <w:rsid w:val="32BC21C9"/>
    <w:rsid w:val="32BD6D4B"/>
    <w:rsid w:val="32C51A10"/>
    <w:rsid w:val="32C97752"/>
    <w:rsid w:val="32CD6F61"/>
    <w:rsid w:val="32D700C1"/>
    <w:rsid w:val="32DD144F"/>
    <w:rsid w:val="32E620B2"/>
    <w:rsid w:val="32EB1476"/>
    <w:rsid w:val="32F43CBC"/>
    <w:rsid w:val="32FB3683"/>
    <w:rsid w:val="32FC18D5"/>
    <w:rsid w:val="32FC7B27"/>
    <w:rsid w:val="3301513E"/>
    <w:rsid w:val="33024A12"/>
    <w:rsid w:val="33062754"/>
    <w:rsid w:val="33076A25"/>
    <w:rsid w:val="330B38C7"/>
    <w:rsid w:val="33174205"/>
    <w:rsid w:val="331A61CD"/>
    <w:rsid w:val="331C3D26"/>
    <w:rsid w:val="331D35FA"/>
    <w:rsid w:val="331D36BE"/>
    <w:rsid w:val="331F5E09"/>
    <w:rsid w:val="3326578F"/>
    <w:rsid w:val="33314F6D"/>
    <w:rsid w:val="333472C1"/>
    <w:rsid w:val="333A4076"/>
    <w:rsid w:val="33412AB9"/>
    <w:rsid w:val="3344502A"/>
    <w:rsid w:val="33447B02"/>
    <w:rsid w:val="33476F36"/>
    <w:rsid w:val="33515D89"/>
    <w:rsid w:val="33537565"/>
    <w:rsid w:val="33550FE6"/>
    <w:rsid w:val="3355133B"/>
    <w:rsid w:val="33576B0C"/>
    <w:rsid w:val="335C05C6"/>
    <w:rsid w:val="336B396E"/>
    <w:rsid w:val="336E20A7"/>
    <w:rsid w:val="33721B98"/>
    <w:rsid w:val="33745910"/>
    <w:rsid w:val="337A6C9E"/>
    <w:rsid w:val="33852262"/>
    <w:rsid w:val="338611ED"/>
    <w:rsid w:val="33863895"/>
    <w:rsid w:val="338E0A30"/>
    <w:rsid w:val="33900270"/>
    <w:rsid w:val="339B6FEA"/>
    <w:rsid w:val="33A31D51"/>
    <w:rsid w:val="33A45AC9"/>
    <w:rsid w:val="33A53D1B"/>
    <w:rsid w:val="33A930DF"/>
    <w:rsid w:val="33AD5E1F"/>
    <w:rsid w:val="33AF4B9A"/>
    <w:rsid w:val="33B0446E"/>
    <w:rsid w:val="33B166DB"/>
    <w:rsid w:val="33B41E28"/>
    <w:rsid w:val="33BA709B"/>
    <w:rsid w:val="33C54FC4"/>
    <w:rsid w:val="33C70135"/>
    <w:rsid w:val="33C87A09"/>
    <w:rsid w:val="33CA19D4"/>
    <w:rsid w:val="33CA3782"/>
    <w:rsid w:val="33D53ED4"/>
    <w:rsid w:val="33D939C5"/>
    <w:rsid w:val="33D97E69"/>
    <w:rsid w:val="33DA14EB"/>
    <w:rsid w:val="33DF6B01"/>
    <w:rsid w:val="33E24718"/>
    <w:rsid w:val="33E34843"/>
    <w:rsid w:val="33ED121E"/>
    <w:rsid w:val="33F56325"/>
    <w:rsid w:val="33F7209D"/>
    <w:rsid w:val="33F95E15"/>
    <w:rsid w:val="33FB7DDF"/>
    <w:rsid w:val="33FD3B57"/>
    <w:rsid w:val="340824FC"/>
    <w:rsid w:val="34092253"/>
    <w:rsid w:val="340A6274"/>
    <w:rsid w:val="34142C4F"/>
    <w:rsid w:val="341A6ED5"/>
    <w:rsid w:val="341D2EC6"/>
    <w:rsid w:val="341D5FA7"/>
    <w:rsid w:val="341E3ACD"/>
    <w:rsid w:val="341E587B"/>
    <w:rsid w:val="341E7629"/>
    <w:rsid w:val="342804A8"/>
    <w:rsid w:val="342A06C4"/>
    <w:rsid w:val="342E2857"/>
    <w:rsid w:val="34337579"/>
    <w:rsid w:val="34452E08"/>
    <w:rsid w:val="344A6FB9"/>
    <w:rsid w:val="344C4197"/>
    <w:rsid w:val="345474EF"/>
    <w:rsid w:val="34594B05"/>
    <w:rsid w:val="345968B4"/>
    <w:rsid w:val="345C4021"/>
    <w:rsid w:val="345D276D"/>
    <w:rsid w:val="34621C0C"/>
    <w:rsid w:val="346239BA"/>
    <w:rsid w:val="346E1C27"/>
    <w:rsid w:val="346F257B"/>
    <w:rsid w:val="34750E92"/>
    <w:rsid w:val="3489363D"/>
    <w:rsid w:val="348B48AE"/>
    <w:rsid w:val="348C0A37"/>
    <w:rsid w:val="348E2A01"/>
    <w:rsid w:val="34945B3E"/>
    <w:rsid w:val="349D2C44"/>
    <w:rsid w:val="349D49F2"/>
    <w:rsid w:val="34A00986"/>
    <w:rsid w:val="34A044E2"/>
    <w:rsid w:val="34AA5361"/>
    <w:rsid w:val="34AC6A12"/>
    <w:rsid w:val="34AC732B"/>
    <w:rsid w:val="34AE4E51"/>
    <w:rsid w:val="34B306BA"/>
    <w:rsid w:val="34B41D3C"/>
    <w:rsid w:val="34B63D06"/>
    <w:rsid w:val="34BB131C"/>
    <w:rsid w:val="34BF0E0C"/>
    <w:rsid w:val="34C06933"/>
    <w:rsid w:val="34C208FD"/>
    <w:rsid w:val="34C24459"/>
    <w:rsid w:val="34C53F49"/>
    <w:rsid w:val="34D04DC8"/>
    <w:rsid w:val="34D4418C"/>
    <w:rsid w:val="34DB376C"/>
    <w:rsid w:val="34DB551B"/>
    <w:rsid w:val="34DD52CB"/>
    <w:rsid w:val="34E268A9"/>
    <w:rsid w:val="34E42621"/>
    <w:rsid w:val="34E66BA3"/>
    <w:rsid w:val="34E70363"/>
    <w:rsid w:val="34EC3BCC"/>
    <w:rsid w:val="34F34F5A"/>
    <w:rsid w:val="34F767F8"/>
    <w:rsid w:val="34F8431E"/>
    <w:rsid w:val="34FA3BF3"/>
    <w:rsid w:val="34FB0599"/>
    <w:rsid w:val="34FF38FF"/>
    <w:rsid w:val="350607E9"/>
    <w:rsid w:val="350727B3"/>
    <w:rsid w:val="350902DA"/>
    <w:rsid w:val="35096C22"/>
    <w:rsid w:val="351153E0"/>
    <w:rsid w:val="35147EBC"/>
    <w:rsid w:val="351729F7"/>
    <w:rsid w:val="351849C1"/>
    <w:rsid w:val="351D1FD7"/>
    <w:rsid w:val="351F18AB"/>
    <w:rsid w:val="351F3659"/>
    <w:rsid w:val="351F7AFD"/>
    <w:rsid w:val="3522139B"/>
    <w:rsid w:val="35262C3A"/>
    <w:rsid w:val="352944D8"/>
    <w:rsid w:val="35305866"/>
    <w:rsid w:val="353510CF"/>
    <w:rsid w:val="35397B62"/>
    <w:rsid w:val="353C2EA2"/>
    <w:rsid w:val="353F1F4D"/>
    <w:rsid w:val="354070EB"/>
    <w:rsid w:val="35431A3E"/>
    <w:rsid w:val="35446CE6"/>
    <w:rsid w:val="35492DCC"/>
    <w:rsid w:val="35527ED3"/>
    <w:rsid w:val="355A6D87"/>
    <w:rsid w:val="355E7F19"/>
    <w:rsid w:val="355F439E"/>
    <w:rsid w:val="35610116"/>
    <w:rsid w:val="35613C72"/>
    <w:rsid w:val="35643762"/>
    <w:rsid w:val="356674DA"/>
    <w:rsid w:val="356B4AF0"/>
    <w:rsid w:val="356D66AE"/>
    <w:rsid w:val="35747E49"/>
    <w:rsid w:val="357C6CFE"/>
    <w:rsid w:val="35812566"/>
    <w:rsid w:val="358362DE"/>
    <w:rsid w:val="35887450"/>
    <w:rsid w:val="358A2463"/>
    <w:rsid w:val="358B5193"/>
    <w:rsid w:val="35977890"/>
    <w:rsid w:val="35A37FDB"/>
    <w:rsid w:val="35B30245"/>
    <w:rsid w:val="35BA15D4"/>
    <w:rsid w:val="35BD49EF"/>
    <w:rsid w:val="35BE0BBF"/>
    <w:rsid w:val="35C0308E"/>
    <w:rsid w:val="35C3492C"/>
    <w:rsid w:val="35CA5CBB"/>
    <w:rsid w:val="35D1164F"/>
    <w:rsid w:val="35D24B6F"/>
    <w:rsid w:val="35D52E6A"/>
    <w:rsid w:val="35D54660"/>
    <w:rsid w:val="35D8537C"/>
    <w:rsid w:val="35DE565D"/>
    <w:rsid w:val="35E11256"/>
    <w:rsid w:val="35E13004"/>
    <w:rsid w:val="35E14DB3"/>
    <w:rsid w:val="35E46651"/>
    <w:rsid w:val="35E7171B"/>
    <w:rsid w:val="35E87EEF"/>
    <w:rsid w:val="35ED7BFB"/>
    <w:rsid w:val="35F638E3"/>
    <w:rsid w:val="36034D29"/>
    <w:rsid w:val="3609247B"/>
    <w:rsid w:val="360A4A2E"/>
    <w:rsid w:val="360B1E2F"/>
    <w:rsid w:val="360B3153"/>
    <w:rsid w:val="360E3A73"/>
    <w:rsid w:val="361C228F"/>
    <w:rsid w:val="361C3EBD"/>
    <w:rsid w:val="36237345"/>
    <w:rsid w:val="362A49AB"/>
    <w:rsid w:val="362F5B1E"/>
    <w:rsid w:val="36317AE8"/>
    <w:rsid w:val="36321AB2"/>
    <w:rsid w:val="36364050"/>
    <w:rsid w:val="36367635"/>
    <w:rsid w:val="36394B26"/>
    <w:rsid w:val="363C648D"/>
    <w:rsid w:val="36401AD9"/>
    <w:rsid w:val="36405F7D"/>
    <w:rsid w:val="36407D2B"/>
    <w:rsid w:val="364705BA"/>
    <w:rsid w:val="364A0BAA"/>
    <w:rsid w:val="364C66D0"/>
    <w:rsid w:val="364D2448"/>
    <w:rsid w:val="365732C7"/>
    <w:rsid w:val="36592B9B"/>
    <w:rsid w:val="3659703F"/>
    <w:rsid w:val="36625EF3"/>
    <w:rsid w:val="36641223"/>
    <w:rsid w:val="36671980"/>
    <w:rsid w:val="366A5337"/>
    <w:rsid w:val="366D0F08"/>
    <w:rsid w:val="366E2AEA"/>
    <w:rsid w:val="36741106"/>
    <w:rsid w:val="367D0F7F"/>
    <w:rsid w:val="368A71F8"/>
    <w:rsid w:val="368C042F"/>
    <w:rsid w:val="3699743B"/>
    <w:rsid w:val="369B1405"/>
    <w:rsid w:val="369D6F2B"/>
    <w:rsid w:val="36A06A1C"/>
    <w:rsid w:val="36A54032"/>
    <w:rsid w:val="36A77DAA"/>
    <w:rsid w:val="36A93B22"/>
    <w:rsid w:val="36AA4294"/>
    <w:rsid w:val="36B10C29"/>
    <w:rsid w:val="36B338EC"/>
    <w:rsid w:val="36BB5A02"/>
    <w:rsid w:val="36BE4C5A"/>
    <w:rsid w:val="36BE50F4"/>
    <w:rsid w:val="36C26992"/>
    <w:rsid w:val="36CA1CEB"/>
    <w:rsid w:val="36CB4432"/>
    <w:rsid w:val="36CC15BF"/>
    <w:rsid w:val="36D6068F"/>
    <w:rsid w:val="36D6243D"/>
    <w:rsid w:val="36D84407"/>
    <w:rsid w:val="36DD557A"/>
    <w:rsid w:val="36E42DAC"/>
    <w:rsid w:val="36E763F9"/>
    <w:rsid w:val="36E76E82"/>
    <w:rsid w:val="36EF52AD"/>
    <w:rsid w:val="36F34D9D"/>
    <w:rsid w:val="36F6277F"/>
    <w:rsid w:val="36F71A7B"/>
    <w:rsid w:val="36FB1DD0"/>
    <w:rsid w:val="36FE5B80"/>
    <w:rsid w:val="37021484"/>
    <w:rsid w:val="37050677"/>
    <w:rsid w:val="371116C7"/>
    <w:rsid w:val="37164F30"/>
    <w:rsid w:val="371669D8"/>
    <w:rsid w:val="371B2546"/>
    <w:rsid w:val="371D1E1A"/>
    <w:rsid w:val="37213AEB"/>
    <w:rsid w:val="372413FB"/>
    <w:rsid w:val="37265173"/>
    <w:rsid w:val="37290BA9"/>
    <w:rsid w:val="373047D2"/>
    <w:rsid w:val="37384EA6"/>
    <w:rsid w:val="373C5B22"/>
    <w:rsid w:val="373D24BC"/>
    <w:rsid w:val="37411FAD"/>
    <w:rsid w:val="37427AD3"/>
    <w:rsid w:val="3744384B"/>
    <w:rsid w:val="37461371"/>
    <w:rsid w:val="3757357E"/>
    <w:rsid w:val="375A4E1C"/>
    <w:rsid w:val="375D66BB"/>
    <w:rsid w:val="375E2D8E"/>
    <w:rsid w:val="37661A13"/>
    <w:rsid w:val="376712E7"/>
    <w:rsid w:val="376A110E"/>
    <w:rsid w:val="376B527C"/>
    <w:rsid w:val="376E2676"/>
    <w:rsid w:val="37702892"/>
    <w:rsid w:val="3772660A"/>
    <w:rsid w:val="377B407B"/>
    <w:rsid w:val="377E4FAF"/>
    <w:rsid w:val="377F2AD5"/>
    <w:rsid w:val="37841E99"/>
    <w:rsid w:val="378974B0"/>
    <w:rsid w:val="378D51F2"/>
    <w:rsid w:val="379C3A2E"/>
    <w:rsid w:val="379C71E3"/>
    <w:rsid w:val="37A16410"/>
    <w:rsid w:val="37A95DA4"/>
    <w:rsid w:val="37AD7642"/>
    <w:rsid w:val="37AF32DA"/>
    <w:rsid w:val="37B24C58"/>
    <w:rsid w:val="37B564F7"/>
    <w:rsid w:val="37BA3B0D"/>
    <w:rsid w:val="37BD18D7"/>
    <w:rsid w:val="37C36E66"/>
    <w:rsid w:val="37C52BDE"/>
    <w:rsid w:val="37C9368D"/>
    <w:rsid w:val="37CB1876"/>
    <w:rsid w:val="37CE392A"/>
    <w:rsid w:val="37CF580A"/>
    <w:rsid w:val="37D22C05"/>
    <w:rsid w:val="37D424C1"/>
    <w:rsid w:val="37DC1CD5"/>
    <w:rsid w:val="37E13493"/>
    <w:rsid w:val="37E172EC"/>
    <w:rsid w:val="37E33064"/>
    <w:rsid w:val="37EB3CC7"/>
    <w:rsid w:val="37EF7C5B"/>
    <w:rsid w:val="37F76B0F"/>
    <w:rsid w:val="37FA215C"/>
    <w:rsid w:val="38003C16"/>
    <w:rsid w:val="380134EA"/>
    <w:rsid w:val="3805515D"/>
    <w:rsid w:val="38082ACA"/>
    <w:rsid w:val="380D1E8F"/>
    <w:rsid w:val="380D6333"/>
    <w:rsid w:val="381C20D2"/>
    <w:rsid w:val="38211DDE"/>
    <w:rsid w:val="38216165"/>
    <w:rsid w:val="38236914"/>
    <w:rsid w:val="3834566E"/>
    <w:rsid w:val="38390ED6"/>
    <w:rsid w:val="383C2774"/>
    <w:rsid w:val="383E473E"/>
    <w:rsid w:val="38451629"/>
    <w:rsid w:val="38455ACD"/>
    <w:rsid w:val="3852626E"/>
    <w:rsid w:val="385505E5"/>
    <w:rsid w:val="385C4BC4"/>
    <w:rsid w:val="385F0C5B"/>
    <w:rsid w:val="386817BB"/>
    <w:rsid w:val="38691C52"/>
    <w:rsid w:val="38750761"/>
    <w:rsid w:val="387719FE"/>
    <w:rsid w:val="38784692"/>
    <w:rsid w:val="387B69C4"/>
    <w:rsid w:val="3880055C"/>
    <w:rsid w:val="388008B3"/>
    <w:rsid w:val="38804D57"/>
    <w:rsid w:val="388373E5"/>
    <w:rsid w:val="388D52AC"/>
    <w:rsid w:val="38934A8A"/>
    <w:rsid w:val="389425B0"/>
    <w:rsid w:val="38960718"/>
    <w:rsid w:val="38961E84"/>
    <w:rsid w:val="389D1465"/>
    <w:rsid w:val="389E6F8B"/>
    <w:rsid w:val="38A071A7"/>
    <w:rsid w:val="38A24CCD"/>
    <w:rsid w:val="38A55CCB"/>
    <w:rsid w:val="38AA3B82"/>
    <w:rsid w:val="38AF194E"/>
    <w:rsid w:val="38B30C88"/>
    <w:rsid w:val="38BD6425"/>
    <w:rsid w:val="38C07096"/>
    <w:rsid w:val="38C764E2"/>
    <w:rsid w:val="38CC58A6"/>
    <w:rsid w:val="38CC7F9C"/>
    <w:rsid w:val="38CF0F38"/>
    <w:rsid w:val="38D11947"/>
    <w:rsid w:val="38D155B2"/>
    <w:rsid w:val="38D64977"/>
    <w:rsid w:val="38D806EF"/>
    <w:rsid w:val="38DC5522"/>
    <w:rsid w:val="38E075A3"/>
    <w:rsid w:val="38E250CA"/>
    <w:rsid w:val="38E30E42"/>
    <w:rsid w:val="38E726E0"/>
    <w:rsid w:val="38EE1CC0"/>
    <w:rsid w:val="38F372D7"/>
    <w:rsid w:val="38F95634"/>
    <w:rsid w:val="38FE4457"/>
    <w:rsid w:val="38FE7A29"/>
    <w:rsid w:val="3902751A"/>
    <w:rsid w:val="390A4E81"/>
    <w:rsid w:val="390A63CE"/>
    <w:rsid w:val="390B6DE3"/>
    <w:rsid w:val="390C65EA"/>
    <w:rsid w:val="390E2362"/>
    <w:rsid w:val="390F7E89"/>
    <w:rsid w:val="391536F1"/>
    <w:rsid w:val="391B05DB"/>
    <w:rsid w:val="391B4A7F"/>
    <w:rsid w:val="391B682D"/>
    <w:rsid w:val="391D07F7"/>
    <w:rsid w:val="39225E0E"/>
    <w:rsid w:val="39253208"/>
    <w:rsid w:val="392576AC"/>
    <w:rsid w:val="392A081F"/>
    <w:rsid w:val="392C27E9"/>
    <w:rsid w:val="39363667"/>
    <w:rsid w:val="39396CB4"/>
    <w:rsid w:val="393A3157"/>
    <w:rsid w:val="39406294"/>
    <w:rsid w:val="394A0EC1"/>
    <w:rsid w:val="394A2C6F"/>
    <w:rsid w:val="394E09B1"/>
    <w:rsid w:val="394E275F"/>
    <w:rsid w:val="39535FC7"/>
    <w:rsid w:val="395C7AF5"/>
    <w:rsid w:val="39616936"/>
    <w:rsid w:val="396401D4"/>
    <w:rsid w:val="39641F82"/>
    <w:rsid w:val="396A50BF"/>
    <w:rsid w:val="396E1053"/>
    <w:rsid w:val="3978678E"/>
    <w:rsid w:val="397A3554"/>
    <w:rsid w:val="397B107A"/>
    <w:rsid w:val="398B39B3"/>
    <w:rsid w:val="3991089E"/>
    <w:rsid w:val="39930ABA"/>
    <w:rsid w:val="39934616"/>
    <w:rsid w:val="399A3BF6"/>
    <w:rsid w:val="39A24859"/>
    <w:rsid w:val="39A95BE7"/>
    <w:rsid w:val="39AD3929"/>
    <w:rsid w:val="39AE1450"/>
    <w:rsid w:val="39AE31FE"/>
    <w:rsid w:val="39BA4298"/>
    <w:rsid w:val="39BD34C1"/>
    <w:rsid w:val="39C24EFB"/>
    <w:rsid w:val="39C3649F"/>
    <w:rsid w:val="39CC45BA"/>
    <w:rsid w:val="39D07618"/>
    <w:rsid w:val="39D135C9"/>
    <w:rsid w:val="39D54C2E"/>
    <w:rsid w:val="39D72754"/>
    <w:rsid w:val="39DE7F87"/>
    <w:rsid w:val="39E135D3"/>
    <w:rsid w:val="39E62997"/>
    <w:rsid w:val="39EB6200"/>
    <w:rsid w:val="39EC65B8"/>
    <w:rsid w:val="39ED7C07"/>
    <w:rsid w:val="39F2758E"/>
    <w:rsid w:val="39FA28E7"/>
    <w:rsid w:val="39FA4695"/>
    <w:rsid w:val="39FD6FE2"/>
    <w:rsid w:val="3A045F2B"/>
    <w:rsid w:val="3A053765"/>
    <w:rsid w:val="3A092B2A"/>
    <w:rsid w:val="3A0D261A"/>
    <w:rsid w:val="3A0D43C8"/>
    <w:rsid w:val="3A10210A"/>
    <w:rsid w:val="3A1219DE"/>
    <w:rsid w:val="3A125E82"/>
    <w:rsid w:val="3A127C30"/>
    <w:rsid w:val="3A173499"/>
    <w:rsid w:val="3A190FBF"/>
    <w:rsid w:val="3A233BEC"/>
    <w:rsid w:val="3A267238"/>
    <w:rsid w:val="3A2B0CF2"/>
    <w:rsid w:val="3A2F07E2"/>
    <w:rsid w:val="3A3C733D"/>
    <w:rsid w:val="3A4678DA"/>
    <w:rsid w:val="3A4B3142"/>
    <w:rsid w:val="3A502507"/>
    <w:rsid w:val="3A563FC1"/>
    <w:rsid w:val="3A5B15D7"/>
    <w:rsid w:val="3A5B1D24"/>
    <w:rsid w:val="3A5E2E76"/>
    <w:rsid w:val="3A612966"/>
    <w:rsid w:val="3A654204"/>
    <w:rsid w:val="3A712BA9"/>
    <w:rsid w:val="3A7B3A28"/>
    <w:rsid w:val="3A7E52C6"/>
    <w:rsid w:val="3A810912"/>
    <w:rsid w:val="3A886145"/>
    <w:rsid w:val="3A900B55"/>
    <w:rsid w:val="3A947B69"/>
    <w:rsid w:val="3A960861"/>
    <w:rsid w:val="3A96589A"/>
    <w:rsid w:val="3A9C399E"/>
    <w:rsid w:val="3AA82D10"/>
    <w:rsid w:val="3AAD0D17"/>
    <w:rsid w:val="3AAF547F"/>
    <w:rsid w:val="3AB111F7"/>
    <w:rsid w:val="3AB900AC"/>
    <w:rsid w:val="3ABE3914"/>
    <w:rsid w:val="3AC0768C"/>
    <w:rsid w:val="3AC2225A"/>
    <w:rsid w:val="3AC84793"/>
    <w:rsid w:val="3ACF5B21"/>
    <w:rsid w:val="3AD62A0C"/>
    <w:rsid w:val="3AD82C28"/>
    <w:rsid w:val="3ADB2718"/>
    <w:rsid w:val="3AE113B1"/>
    <w:rsid w:val="3AE9658E"/>
    <w:rsid w:val="3AEC222F"/>
    <w:rsid w:val="3AEC66D3"/>
    <w:rsid w:val="3AED7D56"/>
    <w:rsid w:val="3AEF1D20"/>
    <w:rsid w:val="3AF4133D"/>
    <w:rsid w:val="3AF61300"/>
    <w:rsid w:val="3AF64E5C"/>
    <w:rsid w:val="3AFA0DF0"/>
    <w:rsid w:val="3AFE01B5"/>
    <w:rsid w:val="3B007A89"/>
    <w:rsid w:val="3B052FDA"/>
    <w:rsid w:val="3B0C0187"/>
    <w:rsid w:val="3B0C0B24"/>
    <w:rsid w:val="3B235613"/>
    <w:rsid w:val="3B255741"/>
    <w:rsid w:val="3B26412F"/>
    <w:rsid w:val="3B27770B"/>
    <w:rsid w:val="3B286FE0"/>
    <w:rsid w:val="3B2E49BC"/>
    <w:rsid w:val="3B31058A"/>
    <w:rsid w:val="3B3623AF"/>
    <w:rsid w:val="3B385475"/>
    <w:rsid w:val="3B3D44CF"/>
    <w:rsid w:val="3B3E6803"/>
    <w:rsid w:val="3B4402BD"/>
    <w:rsid w:val="3B44206B"/>
    <w:rsid w:val="3B471B5C"/>
    <w:rsid w:val="3B497682"/>
    <w:rsid w:val="3B516536"/>
    <w:rsid w:val="3B563B4D"/>
    <w:rsid w:val="3B6049CB"/>
    <w:rsid w:val="3B620744"/>
    <w:rsid w:val="3B677B08"/>
    <w:rsid w:val="3B691AD2"/>
    <w:rsid w:val="3B6B36CA"/>
    <w:rsid w:val="3B6B3A9C"/>
    <w:rsid w:val="3B6D5F5F"/>
    <w:rsid w:val="3B6F4C0F"/>
    <w:rsid w:val="3B711262"/>
    <w:rsid w:val="3B725FEC"/>
    <w:rsid w:val="3B7566C9"/>
    <w:rsid w:val="3B7920D9"/>
    <w:rsid w:val="3B7A0CB0"/>
    <w:rsid w:val="3B7B35B3"/>
    <w:rsid w:val="3B7D732B"/>
    <w:rsid w:val="3B837D96"/>
    <w:rsid w:val="3B8406BA"/>
    <w:rsid w:val="3B842468"/>
    <w:rsid w:val="3B855DC3"/>
    <w:rsid w:val="3B892174"/>
    <w:rsid w:val="3B936B4F"/>
    <w:rsid w:val="3B972A2D"/>
    <w:rsid w:val="3B984165"/>
    <w:rsid w:val="3B985F13"/>
    <w:rsid w:val="3B9A7EDD"/>
    <w:rsid w:val="3B9D177C"/>
    <w:rsid w:val="3B9F0C47"/>
    <w:rsid w:val="3BA0301A"/>
    <w:rsid w:val="3BA26D92"/>
    <w:rsid w:val="3BA42B0A"/>
    <w:rsid w:val="3BA448B8"/>
    <w:rsid w:val="3BA96372"/>
    <w:rsid w:val="3BAB3D47"/>
    <w:rsid w:val="3BB30F9F"/>
    <w:rsid w:val="3BB80364"/>
    <w:rsid w:val="3BBA0580"/>
    <w:rsid w:val="3BBA40DC"/>
    <w:rsid w:val="3BBF5B96"/>
    <w:rsid w:val="3BC1190E"/>
    <w:rsid w:val="3BC136BC"/>
    <w:rsid w:val="3BC27434"/>
    <w:rsid w:val="3BD01B51"/>
    <w:rsid w:val="3BD258C9"/>
    <w:rsid w:val="3BD333EF"/>
    <w:rsid w:val="3BD57167"/>
    <w:rsid w:val="3BE10AA5"/>
    <w:rsid w:val="3BE70C49"/>
    <w:rsid w:val="3BE865EF"/>
    <w:rsid w:val="3BE949C1"/>
    <w:rsid w:val="3BED44B1"/>
    <w:rsid w:val="3BF70E8C"/>
    <w:rsid w:val="3BFC2946"/>
    <w:rsid w:val="3C011D0B"/>
    <w:rsid w:val="3C025A83"/>
    <w:rsid w:val="3C073099"/>
    <w:rsid w:val="3C0A6664"/>
    <w:rsid w:val="3C0E61D6"/>
    <w:rsid w:val="3C136A22"/>
    <w:rsid w:val="3C174363"/>
    <w:rsid w:val="3C1B66FB"/>
    <w:rsid w:val="3C2974B3"/>
    <w:rsid w:val="3C326368"/>
    <w:rsid w:val="3C371BD0"/>
    <w:rsid w:val="3C3D6F3F"/>
    <w:rsid w:val="3C4936B2"/>
    <w:rsid w:val="3C4C57C1"/>
    <w:rsid w:val="3C4D13F4"/>
    <w:rsid w:val="3C4D4F50"/>
    <w:rsid w:val="3C522566"/>
    <w:rsid w:val="3C553E04"/>
    <w:rsid w:val="3C555670"/>
    <w:rsid w:val="3C577D52"/>
    <w:rsid w:val="3C5C33E5"/>
    <w:rsid w:val="3C5C5193"/>
    <w:rsid w:val="3C5F4C83"/>
    <w:rsid w:val="3C6B187A"/>
    <w:rsid w:val="3C74072E"/>
    <w:rsid w:val="3C756255"/>
    <w:rsid w:val="3C797AF3"/>
    <w:rsid w:val="3C7A1ABD"/>
    <w:rsid w:val="3C7C5835"/>
    <w:rsid w:val="3C7C75E3"/>
    <w:rsid w:val="3C90308E"/>
    <w:rsid w:val="3C950D5E"/>
    <w:rsid w:val="3C9568F7"/>
    <w:rsid w:val="3CA46AF1"/>
    <w:rsid w:val="3CA54D8C"/>
    <w:rsid w:val="3CAA05F4"/>
    <w:rsid w:val="3CAB7EC8"/>
    <w:rsid w:val="3CAD1E92"/>
    <w:rsid w:val="3CAF1767"/>
    <w:rsid w:val="3CAF79B9"/>
    <w:rsid w:val="3CB23005"/>
    <w:rsid w:val="3CC64D02"/>
    <w:rsid w:val="3CC956E1"/>
    <w:rsid w:val="3CCA2A44"/>
    <w:rsid w:val="3CCB0BE1"/>
    <w:rsid w:val="3CCD42E3"/>
    <w:rsid w:val="3CD13DD3"/>
    <w:rsid w:val="3CD411CD"/>
    <w:rsid w:val="3CD920E4"/>
    <w:rsid w:val="3CDB4301"/>
    <w:rsid w:val="3CE04016"/>
    <w:rsid w:val="3CE05DC4"/>
    <w:rsid w:val="3CE82D59"/>
    <w:rsid w:val="3CEE5705"/>
    <w:rsid w:val="3CEF4259"/>
    <w:rsid w:val="3CF70474"/>
    <w:rsid w:val="3CF950D8"/>
    <w:rsid w:val="3CFD6976"/>
    <w:rsid w:val="3D015D3A"/>
    <w:rsid w:val="3D0754BF"/>
    <w:rsid w:val="3D112421"/>
    <w:rsid w:val="3D1B504E"/>
    <w:rsid w:val="3D1D2B74"/>
    <w:rsid w:val="3D1D51DD"/>
    <w:rsid w:val="3D21086E"/>
    <w:rsid w:val="3D22018A"/>
    <w:rsid w:val="3D22462E"/>
    <w:rsid w:val="3D2A703F"/>
    <w:rsid w:val="3D2F28A7"/>
    <w:rsid w:val="3D3F294A"/>
    <w:rsid w:val="3D446D65"/>
    <w:rsid w:val="3D4D4509"/>
    <w:rsid w:val="3D54373F"/>
    <w:rsid w:val="3D567A39"/>
    <w:rsid w:val="3D5B369C"/>
    <w:rsid w:val="3D5B3B5C"/>
    <w:rsid w:val="3D5F13DF"/>
    <w:rsid w:val="3D6362DE"/>
    <w:rsid w:val="3D6562C9"/>
    <w:rsid w:val="3D695DB9"/>
    <w:rsid w:val="3D6C7658"/>
    <w:rsid w:val="3D6D517E"/>
    <w:rsid w:val="3D6F0EF6"/>
    <w:rsid w:val="3D7529B0"/>
    <w:rsid w:val="3D77100D"/>
    <w:rsid w:val="3D820C29"/>
    <w:rsid w:val="3D8449A1"/>
    <w:rsid w:val="3D8726E3"/>
    <w:rsid w:val="3D874491"/>
    <w:rsid w:val="3D8B21D4"/>
    <w:rsid w:val="3D8C1AA8"/>
    <w:rsid w:val="3D8C7CFA"/>
    <w:rsid w:val="3D8F1598"/>
    <w:rsid w:val="3D8F3346"/>
    <w:rsid w:val="3D9237DD"/>
    <w:rsid w:val="3D96660D"/>
    <w:rsid w:val="3DA07301"/>
    <w:rsid w:val="3DA212CB"/>
    <w:rsid w:val="3DA23079"/>
    <w:rsid w:val="3DA43295"/>
    <w:rsid w:val="3DAC3EF8"/>
    <w:rsid w:val="3DAC5CA6"/>
    <w:rsid w:val="3DAF5796"/>
    <w:rsid w:val="3DB35286"/>
    <w:rsid w:val="3DB86D2C"/>
    <w:rsid w:val="3DBA03C3"/>
    <w:rsid w:val="3DBB238D"/>
    <w:rsid w:val="3DBF3C2B"/>
    <w:rsid w:val="3DC70D32"/>
    <w:rsid w:val="3DCB25D0"/>
    <w:rsid w:val="3DCC00F6"/>
    <w:rsid w:val="3DD1395F"/>
    <w:rsid w:val="3DD60F75"/>
    <w:rsid w:val="3DDB4D41"/>
    <w:rsid w:val="3DDC1B5E"/>
    <w:rsid w:val="3DE10046"/>
    <w:rsid w:val="3DE11DF4"/>
    <w:rsid w:val="3DE16490"/>
    <w:rsid w:val="3DE713D4"/>
    <w:rsid w:val="3DE90CA8"/>
    <w:rsid w:val="3DE90F59"/>
    <w:rsid w:val="3DE96EFA"/>
    <w:rsid w:val="3DEC433E"/>
    <w:rsid w:val="3DED69EA"/>
    <w:rsid w:val="3DEE2762"/>
    <w:rsid w:val="3DF37D79"/>
    <w:rsid w:val="3DF5589F"/>
    <w:rsid w:val="3DF71617"/>
    <w:rsid w:val="3DFA4C63"/>
    <w:rsid w:val="3E063608"/>
    <w:rsid w:val="3E081DAF"/>
    <w:rsid w:val="3E0D0E3B"/>
    <w:rsid w:val="3E100141"/>
    <w:rsid w:val="3E104487"/>
    <w:rsid w:val="3E133F77"/>
    <w:rsid w:val="3E1635C7"/>
    <w:rsid w:val="3E1C107E"/>
    <w:rsid w:val="3E1D4DF6"/>
    <w:rsid w:val="3E237638"/>
    <w:rsid w:val="3E263CAA"/>
    <w:rsid w:val="3E2A77F1"/>
    <w:rsid w:val="3E2C4BE1"/>
    <w:rsid w:val="3E2D45E9"/>
    <w:rsid w:val="3E3C34CE"/>
    <w:rsid w:val="3E3F2FBE"/>
    <w:rsid w:val="3E4573F0"/>
    <w:rsid w:val="3E476E2A"/>
    <w:rsid w:val="3E481E73"/>
    <w:rsid w:val="3E491747"/>
    <w:rsid w:val="3E492681"/>
    <w:rsid w:val="3E502AD5"/>
    <w:rsid w:val="3E5C147A"/>
    <w:rsid w:val="3E612F34"/>
    <w:rsid w:val="3E66054B"/>
    <w:rsid w:val="3E691DE9"/>
    <w:rsid w:val="3E6D18D9"/>
    <w:rsid w:val="3E7569E0"/>
    <w:rsid w:val="3E774506"/>
    <w:rsid w:val="3E7762B4"/>
    <w:rsid w:val="3E7C1B1C"/>
    <w:rsid w:val="3E7C38CA"/>
    <w:rsid w:val="3E823B0A"/>
    <w:rsid w:val="3E8D3D29"/>
    <w:rsid w:val="3E8F1850"/>
    <w:rsid w:val="3E9450B8"/>
    <w:rsid w:val="3E965395"/>
    <w:rsid w:val="3E9C5B24"/>
    <w:rsid w:val="3E9E5F37"/>
    <w:rsid w:val="3EA40736"/>
    <w:rsid w:val="3EAA48DB"/>
    <w:rsid w:val="3EAB0654"/>
    <w:rsid w:val="3EB72B54"/>
    <w:rsid w:val="3EB92D70"/>
    <w:rsid w:val="3EBE7E93"/>
    <w:rsid w:val="3EC11C25"/>
    <w:rsid w:val="3EC314F9"/>
    <w:rsid w:val="3EC55271"/>
    <w:rsid w:val="3EC7548D"/>
    <w:rsid w:val="3EC82FB3"/>
    <w:rsid w:val="3ECC2AA4"/>
    <w:rsid w:val="3ED41958"/>
    <w:rsid w:val="3EDC190A"/>
    <w:rsid w:val="3EDF3E59"/>
    <w:rsid w:val="3EE55913"/>
    <w:rsid w:val="3EE576C2"/>
    <w:rsid w:val="3EE80F60"/>
    <w:rsid w:val="3EEA117C"/>
    <w:rsid w:val="3EED47C8"/>
    <w:rsid w:val="3EED5E1A"/>
    <w:rsid w:val="3EEF3B42"/>
    <w:rsid w:val="3EF5159B"/>
    <w:rsid w:val="3EF54FEC"/>
    <w:rsid w:val="3EFB0C93"/>
    <w:rsid w:val="3EFE5326"/>
    <w:rsid w:val="3F013CA7"/>
    <w:rsid w:val="3F022566"/>
    <w:rsid w:val="3F081602"/>
    <w:rsid w:val="3F0833B0"/>
    <w:rsid w:val="3F0B4C4E"/>
    <w:rsid w:val="3F12400B"/>
    <w:rsid w:val="3F125FDD"/>
    <w:rsid w:val="3F165ACD"/>
    <w:rsid w:val="3F1A7D67"/>
    <w:rsid w:val="3F1E4982"/>
    <w:rsid w:val="3F1F2D1F"/>
    <w:rsid w:val="3F23468E"/>
    <w:rsid w:val="3F253F62"/>
    <w:rsid w:val="3F281CA4"/>
    <w:rsid w:val="3F2C03A4"/>
    <w:rsid w:val="3F2D72BA"/>
    <w:rsid w:val="3F2F3033"/>
    <w:rsid w:val="3F3348D1"/>
    <w:rsid w:val="3F3917BB"/>
    <w:rsid w:val="3F3B5533"/>
    <w:rsid w:val="3F3D1329"/>
    <w:rsid w:val="3F3D74FE"/>
    <w:rsid w:val="3F3F7DC2"/>
    <w:rsid w:val="3F402B4A"/>
    <w:rsid w:val="3F407C75"/>
    <w:rsid w:val="3F485EA2"/>
    <w:rsid w:val="3F4D34B9"/>
    <w:rsid w:val="3F4F2216"/>
    <w:rsid w:val="3F516B05"/>
    <w:rsid w:val="3F544847"/>
    <w:rsid w:val="3F577E93"/>
    <w:rsid w:val="3F5B5BD6"/>
    <w:rsid w:val="3F696A4B"/>
    <w:rsid w:val="3F6D76B7"/>
    <w:rsid w:val="3F6E5909"/>
    <w:rsid w:val="3F6F51DD"/>
    <w:rsid w:val="3F710F55"/>
    <w:rsid w:val="3F7153F9"/>
    <w:rsid w:val="3F743FC9"/>
    <w:rsid w:val="3F8213B4"/>
    <w:rsid w:val="3F84512C"/>
    <w:rsid w:val="3F870779"/>
    <w:rsid w:val="3F8C3FE1"/>
    <w:rsid w:val="3F93536F"/>
    <w:rsid w:val="3F9A2482"/>
    <w:rsid w:val="3F9D61EE"/>
    <w:rsid w:val="3F9E1E4C"/>
    <w:rsid w:val="3FA330D9"/>
    <w:rsid w:val="3FAA4098"/>
    <w:rsid w:val="3FAC6431"/>
    <w:rsid w:val="3FAF1A7E"/>
    <w:rsid w:val="3FBB48C6"/>
    <w:rsid w:val="3FC63871"/>
    <w:rsid w:val="3FC7326B"/>
    <w:rsid w:val="3FC75019"/>
    <w:rsid w:val="3FCA4B09"/>
    <w:rsid w:val="3FCB4B12"/>
    <w:rsid w:val="3FCC262F"/>
    <w:rsid w:val="3FD37E62"/>
    <w:rsid w:val="3FD80FD4"/>
    <w:rsid w:val="3FDF2363"/>
    <w:rsid w:val="3FE536F1"/>
    <w:rsid w:val="3FE71217"/>
    <w:rsid w:val="3FE72E92"/>
    <w:rsid w:val="3FE931E1"/>
    <w:rsid w:val="3FEC4A80"/>
    <w:rsid w:val="3FF34060"/>
    <w:rsid w:val="3FFF2A05"/>
    <w:rsid w:val="400242A3"/>
    <w:rsid w:val="40041DC9"/>
    <w:rsid w:val="400A5252"/>
    <w:rsid w:val="400B75FC"/>
    <w:rsid w:val="400E2C48"/>
    <w:rsid w:val="400E7381"/>
    <w:rsid w:val="4013200C"/>
    <w:rsid w:val="40183AC7"/>
    <w:rsid w:val="401D732F"/>
    <w:rsid w:val="401F09B1"/>
    <w:rsid w:val="4021514C"/>
    <w:rsid w:val="402406BD"/>
    <w:rsid w:val="4024421A"/>
    <w:rsid w:val="40302BBE"/>
    <w:rsid w:val="40316936"/>
    <w:rsid w:val="40324B88"/>
    <w:rsid w:val="403501D5"/>
    <w:rsid w:val="403A1C8F"/>
    <w:rsid w:val="403B1563"/>
    <w:rsid w:val="403D352D"/>
    <w:rsid w:val="40496BCB"/>
    <w:rsid w:val="404B3E9C"/>
    <w:rsid w:val="404D1D57"/>
    <w:rsid w:val="4057639D"/>
    <w:rsid w:val="4061546E"/>
    <w:rsid w:val="40640ABA"/>
    <w:rsid w:val="406E1939"/>
    <w:rsid w:val="407056B1"/>
    <w:rsid w:val="40721429"/>
    <w:rsid w:val="407A02DD"/>
    <w:rsid w:val="407E19E2"/>
    <w:rsid w:val="407F58F4"/>
    <w:rsid w:val="408546D8"/>
    <w:rsid w:val="408F1D8F"/>
    <w:rsid w:val="409018AF"/>
    <w:rsid w:val="4090365D"/>
    <w:rsid w:val="40963817"/>
    <w:rsid w:val="40970E8F"/>
    <w:rsid w:val="409A0980"/>
    <w:rsid w:val="409C64A6"/>
    <w:rsid w:val="409F5F96"/>
    <w:rsid w:val="40A11D0E"/>
    <w:rsid w:val="40A57823"/>
    <w:rsid w:val="40A610D2"/>
    <w:rsid w:val="40A67324"/>
    <w:rsid w:val="40A84E4B"/>
    <w:rsid w:val="40B01F51"/>
    <w:rsid w:val="40B3559D"/>
    <w:rsid w:val="40B97058"/>
    <w:rsid w:val="40C003E6"/>
    <w:rsid w:val="40C41559"/>
    <w:rsid w:val="40C477AB"/>
    <w:rsid w:val="40C63523"/>
    <w:rsid w:val="40CD48B1"/>
    <w:rsid w:val="40D21EC7"/>
    <w:rsid w:val="40D64434"/>
    <w:rsid w:val="40D75730"/>
    <w:rsid w:val="40D811E7"/>
    <w:rsid w:val="40DE261A"/>
    <w:rsid w:val="40E35E83"/>
    <w:rsid w:val="40EC5703"/>
    <w:rsid w:val="40F16647"/>
    <w:rsid w:val="40F24318"/>
    <w:rsid w:val="40F462E2"/>
    <w:rsid w:val="40FB141E"/>
    <w:rsid w:val="40FE2CBD"/>
    <w:rsid w:val="41006A35"/>
    <w:rsid w:val="41016309"/>
    <w:rsid w:val="41045FB8"/>
    <w:rsid w:val="410C362B"/>
    <w:rsid w:val="410D4CAE"/>
    <w:rsid w:val="410F4ECA"/>
    <w:rsid w:val="411B5612"/>
    <w:rsid w:val="411C75E7"/>
    <w:rsid w:val="411E510D"/>
    <w:rsid w:val="412169AB"/>
    <w:rsid w:val="412A5860"/>
    <w:rsid w:val="41326E0A"/>
    <w:rsid w:val="413606A8"/>
    <w:rsid w:val="41391F47"/>
    <w:rsid w:val="413B5CBF"/>
    <w:rsid w:val="413C37E5"/>
    <w:rsid w:val="414D3274"/>
    <w:rsid w:val="414D77A0"/>
    <w:rsid w:val="415450B6"/>
    <w:rsid w:val="41566655"/>
    <w:rsid w:val="41586871"/>
    <w:rsid w:val="415A61D4"/>
    <w:rsid w:val="415E7BFF"/>
    <w:rsid w:val="41692819"/>
    <w:rsid w:val="41742F7F"/>
    <w:rsid w:val="41760AA5"/>
    <w:rsid w:val="41764F49"/>
    <w:rsid w:val="41766CF7"/>
    <w:rsid w:val="41792343"/>
    <w:rsid w:val="417B430D"/>
    <w:rsid w:val="417E3DFD"/>
    <w:rsid w:val="41802B27"/>
    <w:rsid w:val="418807D8"/>
    <w:rsid w:val="41886A2A"/>
    <w:rsid w:val="418A09F4"/>
    <w:rsid w:val="418C651A"/>
    <w:rsid w:val="418D4040"/>
    <w:rsid w:val="418E2292"/>
    <w:rsid w:val="41984EBF"/>
    <w:rsid w:val="41A2189A"/>
    <w:rsid w:val="41A27AEC"/>
    <w:rsid w:val="41A53138"/>
    <w:rsid w:val="41A82C28"/>
    <w:rsid w:val="41A970CC"/>
    <w:rsid w:val="41AA074E"/>
    <w:rsid w:val="41B11ADD"/>
    <w:rsid w:val="41B15F81"/>
    <w:rsid w:val="41B25855"/>
    <w:rsid w:val="41B3338B"/>
    <w:rsid w:val="41B44325"/>
    <w:rsid w:val="41B94E35"/>
    <w:rsid w:val="41C23074"/>
    <w:rsid w:val="41C45CB4"/>
    <w:rsid w:val="41C84587"/>
    <w:rsid w:val="41CA0DF1"/>
    <w:rsid w:val="41CC4B1E"/>
    <w:rsid w:val="41CE08E1"/>
    <w:rsid w:val="41D1217F"/>
    <w:rsid w:val="41D34149"/>
    <w:rsid w:val="41D41C6F"/>
    <w:rsid w:val="41D659E7"/>
    <w:rsid w:val="41D74882"/>
    <w:rsid w:val="41D869DB"/>
    <w:rsid w:val="41E2613A"/>
    <w:rsid w:val="41E41EB2"/>
    <w:rsid w:val="41E70D4E"/>
    <w:rsid w:val="41E974C9"/>
    <w:rsid w:val="41EC0D67"/>
    <w:rsid w:val="41EC6FB9"/>
    <w:rsid w:val="41F52311"/>
    <w:rsid w:val="41F92911"/>
    <w:rsid w:val="41F95E55"/>
    <w:rsid w:val="41FB7100"/>
    <w:rsid w:val="41FC3205"/>
    <w:rsid w:val="41FD11C6"/>
    <w:rsid w:val="4205007B"/>
    <w:rsid w:val="42081115"/>
    <w:rsid w:val="420A5691"/>
    <w:rsid w:val="420E5181"/>
    <w:rsid w:val="42114C71"/>
    <w:rsid w:val="421309EA"/>
    <w:rsid w:val="421D7172"/>
    <w:rsid w:val="422229DB"/>
    <w:rsid w:val="42254279"/>
    <w:rsid w:val="422A188F"/>
    <w:rsid w:val="422B5D33"/>
    <w:rsid w:val="422C22E4"/>
    <w:rsid w:val="422C5607"/>
    <w:rsid w:val="423170C2"/>
    <w:rsid w:val="42336996"/>
    <w:rsid w:val="42341853"/>
    <w:rsid w:val="42350960"/>
    <w:rsid w:val="423618CC"/>
    <w:rsid w:val="42402E61"/>
    <w:rsid w:val="42424E2B"/>
    <w:rsid w:val="42462B6D"/>
    <w:rsid w:val="424741EF"/>
    <w:rsid w:val="42497F67"/>
    <w:rsid w:val="424E1A22"/>
    <w:rsid w:val="424E557E"/>
    <w:rsid w:val="424F481B"/>
    <w:rsid w:val="42521512"/>
    <w:rsid w:val="42554B5E"/>
    <w:rsid w:val="425608D6"/>
    <w:rsid w:val="425A03C6"/>
    <w:rsid w:val="425B7C9B"/>
    <w:rsid w:val="425F59DD"/>
    <w:rsid w:val="426052B1"/>
    <w:rsid w:val="42641245"/>
    <w:rsid w:val="42642FF3"/>
    <w:rsid w:val="42674891"/>
    <w:rsid w:val="426B25D4"/>
    <w:rsid w:val="426C3C56"/>
    <w:rsid w:val="426E5C20"/>
    <w:rsid w:val="42725710"/>
    <w:rsid w:val="42764AD5"/>
    <w:rsid w:val="427A45C5"/>
    <w:rsid w:val="427D1B8C"/>
    <w:rsid w:val="427F1BDB"/>
    <w:rsid w:val="42864D18"/>
    <w:rsid w:val="42870A90"/>
    <w:rsid w:val="4287580F"/>
    <w:rsid w:val="42892A5A"/>
    <w:rsid w:val="428A2851"/>
    <w:rsid w:val="428D254A"/>
    <w:rsid w:val="428F21F1"/>
    <w:rsid w:val="42957651"/>
    <w:rsid w:val="4297480D"/>
    <w:rsid w:val="429E4757"/>
    <w:rsid w:val="42A6360C"/>
    <w:rsid w:val="42A87384"/>
    <w:rsid w:val="42AD6748"/>
    <w:rsid w:val="42B15B0D"/>
    <w:rsid w:val="42B5384F"/>
    <w:rsid w:val="42C45840"/>
    <w:rsid w:val="42C57F36"/>
    <w:rsid w:val="42C85330"/>
    <w:rsid w:val="42D31F27"/>
    <w:rsid w:val="42D9578F"/>
    <w:rsid w:val="42DC702D"/>
    <w:rsid w:val="42E44134"/>
    <w:rsid w:val="42E83C24"/>
    <w:rsid w:val="42E87780"/>
    <w:rsid w:val="42EE0B0F"/>
    <w:rsid w:val="42F205FF"/>
    <w:rsid w:val="42F223AD"/>
    <w:rsid w:val="42FA74B4"/>
    <w:rsid w:val="42FC76D0"/>
    <w:rsid w:val="43030A5E"/>
    <w:rsid w:val="4303280C"/>
    <w:rsid w:val="43040332"/>
    <w:rsid w:val="430B346F"/>
    <w:rsid w:val="430D5439"/>
    <w:rsid w:val="431542ED"/>
    <w:rsid w:val="43193DDE"/>
    <w:rsid w:val="431B5DA8"/>
    <w:rsid w:val="4320516C"/>
    <w:rsid w:val="432804C5"/>
    <w:rsid w:val="432A08FD"/>
    <w:rsid w:val="432A7D99"/>
    <w:rsid w:val="43302ED5"/>
    <w:rsid w:val="433062D1"/>
    <w:rsid w:val="43310A6D"/>
    <w:rsid w:val="43317379"/>
    <w:rsid w:val="43347151"/>
    <w:rsid w:val="43394480"/>
    <w:rsid w:val="4339622E"/>
    <w:rsid w:val="433A5366"/>
    <w:rsid w:val="433C5D1E"/>
    <w:rsid w:val="433E1A96"/>
    <w:rsid w:val="434075BC"/>
    <w:rsid w:val="43422F5A"/>
    <w:rsid w:val="43476B9D"/>
    <w:rsid w:val="434846C3"/>
    <w:rsid w:val="43503578"/>
    <w:rsid w:val="435272F0"/>
    <w:rsid w:val="43543068"/>
    <w:rsid w:val="43586EE2"/>
    <w:rsid w:val="435B61A4"/>
    <w:rsid w:val="436406B7"/>
    <w:rsid w:val="436808C1"/>
    <w:rsid w:val="43686B13"/>
    <w:rsid w:val="436D5ED7"/>
    <w:rsid w:val="436F1C50"/>
    <w:rsid w:val="43762FDE"/>
    <w:rsid w:val="43776D56"/>
    <w:rsid w:val="437B05F4"/>
    <w:rsid w:val="437C611B"/>
    <w:rsid w:val="437E6337"/>
    <w:rsid w:val="438423EA"/>
    <w:rsid w:val="43860D47"/>
    <w:rsid w:val="43884ABF"/>
    <w:rsid w:val="43917E18"/>
    <w:rsid w:val="439E42E3"/>
    <w:rsid w:val="43A0005B"/>
    <w:rsid w:val="43A23DD3"/>
    <w:rsid w:val="43A45752"/>
    <w:rsid w:val="43A73677"/>
    <w:rsid w:val="43B12268"/>
    <w:rsid w:val="43B27D8E"/>
    <w:rsid w:val="43B41D58"/>
    <w:rsid w:val="43B63122"/>
    <w:rsid w:val="43B81849"/>
    <w:rsid w:val="43B8400B"/>
    <w:rsid w:val="43B9736F"/>
    <w:rsid w:val="43C04259"/>
    <w:rsid w:val="43C53F65"/>
    <w:rsid w:val="43CC70A2"/>
    <w:rsid w:val="43CF26EE"/>
    <w:rsid w:val="43D321DE"/>
    <w:rsid w:val="43D917BF"/>
    <w:rsid w:val="43E22422"/>
    <w:rsid w:val="43E3536B"/>
    <w:rsid w:val="43F263DD"/>
    <w:rsid w:val="43F32881"/>
    <w:rsid w:val="43F42155"/>
    <w:rsid w:val="43F65ECD"/>
    <w:rsid w:val="43F860E9"/>
    <w:rsid w:val="43FE4D82"/>
    <w:rsid w:val="44024872"/>
    <w:rsid w:val="440379F1"/>
    <w:rsid w:val="440C11EA"/>
    <w:rsid w:val="441B5933"/>
    <w:rsid w:val="441F5424"/>
    <w:rsid w:val="442212E6"/>
    <w:rsid w:val="44226CC2"/>
    <w:rsid w:val="4427077C"/>
    <w:rsid w:val="44332C7D"/>
    <w:rsid w:val="443469F5"/>
    <w:rsid w:val="443D58AA"/>
    <w:rsid w:val="4440539A"/>
    <w:rsid w:val="444255B6"/>
    <w:rsid w:val="44427364"/>
    <w:rsid w:val="44472BCC"/>
    <w:rsid w:val="444B446B"/>
    <w:rsid w:val="444D2A0A"/>
    <w:rsid w:val="444F7CB9"/>
    <w:rsid w:val="445175A7"/>
    <w:rsid w:val="44553A62"/>
    <w:rsid w:val="44605C18"/>
    <w:rsid w:val="44615A3C"/>
    <w:rsid w:val="446472DA"/>
    <w:rsid w:val="4469669F"/>
    <w:rsid w:val="446B68BB"/>
    <w:rsid w:val="446C4F09"/>
    <w:rsid w:val="446E63AB"/>
    <w:rsid w:val="44703ED1"/>
    <w:rsid w:val="447A4D50"/>
    <w:rsid w:val="447B7CE2"/>
    <w:rsid w:val="448160DE"/>
    <w:rsid w:val="4484172B"/>
    <w:rsid w:val="44894F93"/>
    <w:rsid w:val="44896D41"/>
    <w:rsid w:val="448A289B"/>
    <w:rsid w:val="448F4563"/>
    <w:rsid w:val="44901E7E"/>
    <w:rsid w:val="44915BF6"/>
    <w:rsid w:val="44935E12"/>
    <w:rsid w:val="44957494"/>
    <w:rsid w:val="44974A89"/>
    <w:rsid w:val="449B7970"/>
    <w:rsid w:val="449D0A3E"/>
    <w:rsid w:val="44A1408B"/>
    <w:rsid w:val="44A616A1"/>
    <w:rsid w:val="44A91191"/>
    <w:rsid w:val="44AA20EF"/>
    <w:rsid w:val="44B00772"/>
    <w:rsid w:val="44B10046"/>
    <w:rsid w:val="44B11E0F"/>
    <w:rsid w:val="44B71B00"/>
    <w:rsid w:val="44BA339E"/>
    <w:rsid w:val="44BF2763"/>
    <w:rsid w:val="44C71B58"/>
    <w:rsid w:val="44CC6C2E"/>
    <w:rsid w:val="44D22496"/>
    <w:rsid w:val="44D75CFE"/>
    <w:rsid w:val="44DA57EF"/>
    <w:rsid w:val="44DA759D"/>
    <w:rsid w:val="44DD563B"/>
    <w:rsid w:val="44DF1057"/>
    <w:rsid w:val="44DF4BB3"/>
    <w:rsid w:val="44DF6F4E"/>
    <w:rsid w:val="44E158D6"/>
    <w:rsid w:val="44E4666D"/>
    <w:rsid w:val="44EC0A81"/>
    <w:rsid w:val="44F52628"/>
    <w:rsid w:val="44FF0DB1"/>
    <w:rsid w:val="44FF34A7"/>
    <w:rsid w:val="45007246"/>
    <w:rsid w:val="45036AF3"/>
    <w:rsid w:val="45041776"/>
    <w:rsid w:val="450F36EA"/>
    <w:rsid w:val="45140D01"/>
    <w:rsid w:val="451437FF"/>
    <w:rsid w:val="45156827"/>
    <w:rsid w:val="4517434D"/>
    <w:rsid w:val="451C5BBF"/>
    <w:rsid w:val="451F76A5"/>
    <w:rsid w:val="4521341D"/>
    <w:rsid w:val="45252F0E"/>
    <w:rsid w:val="452847AC"/>
    <w:rsid w:val="452B1BA6"/>
    <w:rsid w:val="452B62FF"/>
    <w:rsid w:val="452D3B70"/>
    <w:rsid w:val="45357EA7"/>
    <w:rsid w:val="453735B3"/>
    <w:rsid w:val="453749EF"/>
    <w:rsid w:val="453A003B"/>
    <w:rsid w:val="453C0257"/>
    <w:rsid w:val="453E18DA"/>
    <w:rsid w:val="4541586E"/>
    <w:rsid w:val="45435142"/>
    <w:rsid w:val="45455877"/>
    <w:rsid w:val="454964D0"/>
    <w:rsid w:val="454F1D39"/>
    <w:rsid w:val="4550160D"/>
    <w:rsid w:val="45533BC2"/>
    <w:rsid w:val="4554734F"/>
    <w:rsid w:val="45575091"/>
    <w:rsid w:val="4561381A"/>
    <w:rsid w:val="4565155C"/>
    <w:rsid w:val="45684BA8"/>
    <w:rsid w:val="456A0921"/>
    <w:rsid w:val="456A4DC4"/>
    <w:rsid w:val="456A6B72"/>
    <w:rsid w:val="456D6663"/>
    <w:rsid w:val="457B0D80"/>
    <w:rsid w:val="457C68A6"/>
    <w:rsid w:val="457E617A"/>
    <w:rsid w:val="457F1EF2"/>
    <w:rsid w:val="4582210E"/>
    <w:rsid w:val="458614D2"/>
    <w:rsid w:val="458659AA"/>
    <w:rsid w:val="458A4B1F"/>
    <w:rsid w:val="45941E41"/>
    <w:rsid w:val="45991206"/>
    <w:rsid w:val="45992FB4"/>
    <w:rsid w:val="459B4F7E"/>
    <w:rsid w:val="45A04342"/>
    <w:rsid w:val="45A1630C"/>
    <w:rsid w:val="45A73923"/>
    <w:rsid w:val="45A801C9"/>
    <w:rsid w:val="45A8769B"/>
    <w:rsid w:val="45AD4CB1"/>
    <w:rsid w:val="45B20519"/>
    <w:rsid w:val="45B918A8"/>
    <w:rsid w:val="45BB73CE"/>
    <w:rsid w:val="45C550EA"/>
    <w:rsid w:val="45D147FE"/>
    <w:rsid w:val="45D264C6"/>
    <w:rsid w:val="45DE4E6B"/>
    <w:rsid w:val="45E05789"/>
    <w:rsid w:val="45E16709"/>
    <w:rsid w:val="45E561F9"/>
    <w:rsid w:val="45EE1552"/>
    <w:rsid w:val="45F8417E"/>
    <w:rsid w:val="45FB34D6"/>
    <w:rsid w:val="45FE72BB"/>
    <w:rsid w:val="46001285"/>
    <w:rsid w:val="46020B59"/>
    <w:rsid w:val="46031658"/>
    <w:rsid w:val="460668A4"/>
    <w:rsid w:val="460C19D8"/>
    <w:rsid w:val="460F3276"/>
    <w:rsid w:val="46113492"/>
    <w:rsid w:val="46130FB8"/>
    <w:rsid w:val="461940F5"/>
    <w:rsid w:val="461B1C1B"/>
    <w:rsid w:val="461E795D"/>
    <w:rsid w:val="462211FB"/>
    <w:rsid w:val="462907DC"/>
    <w:rsid w:val="462A4554"/>
    <w:rsid w:val="462E5DF2"/>
    <w:rsid w:val="462F1B6A"/>
    <w:rsid w:val="4631143E"/>
    <w:rsid w:val="46342CDD"/>
    <w:rsid w:val="463D6035"/>
    <w:rsid w:val="463E3B5B"/>
    <w:rsid w:val="4642189D"/>
    <w:rsid w:val="4643732E"/>
    <w:rsid w:val="464C0026"/>
    <w:rsid w:val="464E3D9E"/>
    <w:rsid w:val="46592743"/>
    <w:rsid w:val="46595450"/>
    <w:rsid w:val="46623CEE"/>
    <w:rsid w:val="466435C2"/>
    <w:rsid w:val="46674E60"/>
    <w:rsid w:val="466A3D31"/>
    <w:rsid w:val="466D6C69"/>
    <w:rsid w:val="467A1037"/>
    <w:rsid w:val="467B4CB6"/>
    <w:rsid w:val="467D4684"/>
    <w:rsid w:val="467D75D6"/>
    <w:rsid w:val="468375E3"/>
    <w:rsid w:val="468477C0"/>
    <w:rsid w:val="46853538"/>
    <w:rsid w:val="468772B0"/>
    <w:rsid w:val="468C48C7"/>
    <w:rsid w:val="46963997"/>
    <w:rsid w:val="469D6AD4"/>
    <w:rsid w:val="46AB11F1"/>
    <w:rsid w:val="46B21756"/>
    <w:rsid w:val="46B34549"/>
    <w:rsid w:val="46BD2B0D"/>
    <w:rsid w:val="46BF4C9C"/>
    <w:rsid w:val="46C6427C"/>
    <w:rsid w:val="46CB5068"/>
    <w:rsid w:val="46CE1383"/>
    <w:rsid w:val="46D06EA9"/>
    <w:rsid w:val="46D324F5"/>
    <w:rsid w:val="46E14C12"/>
    <w:rsid w:val="46E2098A"/>
    <w:rsid w:val="46E4281F"/>
    <w:rsid w:val="46E44703"/>
    <w:rsid w:val="46E9625D"/>
    <w:rsid w:val="46EB5A91"/>
    <w:rsid w:val="46F07AD4"/>
    <w:rsid w:val="46F30DEA"/>
    <w:rsid w:val="46F5246C"/>
    <w:rsid w:val="46F801AE"/>
    <w:rsid w:val="46FA3F26"/>
    <w:rsid w:val="46FF778E"/>
    <w:rsid w:val="47017063"/>
    <w:rsid w:val="47064679"/>
    <w:rsid w:val="47094169"/>
    <w:rsid w:val="471072A6"/>
    <w:rsid w:val="47155E3B"/>
    <w:rsid w:val="47172AA3"/>
    <w:rsid w:val="471F1BDF"/>
    <w:rsid w:val="47242D51"/>
    <w:rsid w:val="47262F6D"/>
    <w:rsid w:val="47285582"/>
    <w:rsid w:val="473016F6"/>
    <w:rsid w:val="47307948"/>
    <w:rsid w:val="47321912"/>
    <w:rsid w:val="47356D0C"/>
    <w:rsid w:val="474156B1"/>
    <w:rsid w:val="474653BD"/>
    <w:rsid w:val="474E5743"/>
    <w:rsid w:val="47512004"/>
    <w:rsid w:val="47525B10"/>
    <w:rsid w:val="47574ED5"/>
    <w:rsid w:val="475C073D"/>
    <w:rsid w:val="475C698F"/>
    <w:rsid w:val="47617B01"/>
    <w:rsid w:val="47653A95"/>
    <w:rsid w:val="47655843"/>
    <w:rsid w:val="4766336A"/>
    <w:rsid w:val="476F0470"/>
    <w:rsid w:val="47745A86"/>
    <w:rsid w:val="477A6E15"/>
    <w:rsid w:val="477C2B8D"/>
    <w:rsid w:val="477D47A4"/>
    <w:rsid w:val="4780267D"/>
    <w:rsid w:val="47833F1C"/>
    <w:rsid w:val="47841A42"/>
    <w:rsid w:val="47855EE6"/>
    <w:rsid w:val="47863A0C"/>
    <w:rsid w:val="478B2DD0"/>
    <w:rsid w:val="478C02B5"/>
    <w:rsid w:val="478D4D9A"/>
    <w:rsid w:val="4792415F"/>
    <w:rsid w:val="47961EA1"/>
    <w:rsid w:val="47A143A2"/>
    <w:rsid w:val="47A345BE"/>
    <w:rsid w:val="47A45C40"/>
    <w:rsid w:val="47A91720"/>
    <w:rsid w:val="47AD71EA"/>
    <w:rsid w:val="47BA5463"/>
    <w:rsid w:val="47BC567F"/>
    <w:rsid w:val="47BC5E84"/>
    <w:rsid w:val="47C50090"/>
    <w:rsid w:val="47C54534"/>
    <w:rsid w:val="47CF7161"/>
    <w:rsid w:val="47D44777"/>
    <w:rsid w:val="47DB78B4"/>
    <w:rsid w:val="47DD7AD0"/>
    <w:rsid w:val="47DE55F6"/>
    <w:rsid w:val="47EF15B1"/>
    <w:rsid w:val="47EF7803"/>
    <w:rsid w:val="47F170D7"/>
    <w:rsid w:val="47F866B8"/>
    <w:rsid w:val="47FE7A46"/>
    <w:rsid w:val="4800731A"/>
    <w:rsid w:val="4803505C"/>
    <w:rsid w:val="480547C5"/>
    <w:rsid w:val="48054931"/>
    <w:rsid w:val="48077575"/>
    <w:rsid w:val="480908C5"/>
    <w:rsid w:val="480A2040"/>
    <w:rsid w:val="480C2163"/>
    <w:rsid w:val="480D6056"/>
    <w:rsid w:val="48141018"/>
    <w:rsid w:val="48177CEE"/>
    <w:rsid w:val="481A666F"/>
    <w:rsid w:val="481B05F8"/>
    <w:rsid w:val="481C1C7A"/>
    <w:rsid w:val="481E1E96"/>
    <w:rsid w:val="48223734"/>
    <w:rsid w:val="48233009"/>
    <w:rsid w:val="48270D4B"/>
    <w:rsid w:val="48276F9D"/>
    <w:rsid w:val="48284AC3"/>
    <w:rsid w:val="482B256E"/>
    <w:rsid w:val="482C6361"/>
    <w:rsid w:val="482F19AD"/>
    <w:rsid w:val="48311D25"/>
    <w:rsid w:val="483B59A8"/>
    <w:rsid w:val="483B65A4"/>
    <w:rsid w:val="483D40CA"/>
    <w:rsid w:val="48427933"/>
    <w:rsid w:val="4847426C"/>
    <w:rsid w:val="48474F49"/>
    <w:rsid w:val="4859110F"/>
    <w:rsid w:val="486A6177"/>
    <w:rsid w:val="487321E2"/>
    <w:rsid w:val="48733F90"/>
    <w:rsid w:val="48735D3E"/>
    <w:rsid w:val="48783354"/>
    <w:rsid w:val="487D4E0F"/>
    <w:rsid w:val="4882778C"/>
    <w:rsid w:val="48861F15"/>
    <w:rsid w:val="48864477"/>
    <w:rsid w:val="48873598"/>
    <w:rsid w:val="48877A3B"/>
    <w:rsid w:val="488C3754"/>
    <w:rsid w:val="48905312"/>
    <w:rsid w:val="489A776F"/>
    <w:rsid w:val="48A24875"/>
    <w:rsid w:val="48A57EC2"/>
    <w:rsid w:val="48AB372A"/>
    <w:rsid w:val="48AC74A2"/>
    <w:rsid w:val="48B30830"/>
    <w:rsid w:val="48B9571B"/>
    <w:rsid w:val="48BB1493"/>
    <w:rsid w:val="48BC5937"/>
    <w:rsid w:val="48BF0F83"/>
    <w:rsid w:val="48C12F4D"/>
    <w:rsid w:val="48C15FB3"/>
    <w:rsid w:val="48C52312"/>
    <w:rsid w:val="48C77E38"/>
    <w:rsid w:val="48C93BB0"/>
    <w:rsid w:val="48CA7928"/>
    <w:rsid w:val="48CE7418"/>
    <w:rsid w:val="48D013E2"/>
    <w:rsid w:val="48D03190"/>
    <w:rsid w:val="48D507A7"/>
    <w:rsid w:val="48D64044"/>
    <w:rsid w:val="48DB38E3"/>
    <w:rsid w:val="48E704DA"/>
    <w:rsid w:val="48EB7FCA"/>
    <w:rsid w:val="48F26DA4"/>
    <w:rsid w:val="48F350D1"/>
    <w:rsid w:val="48F50E49"/>
    <w:rsid w:val="48F549A5"/>
    <w:rsid w:val="48FD7CFE"/>
    <w:rsid w:val="490270C2"/>
    <w:rsid w:val="49107A31"/>
    <w:rsid w:val="491237A9"/>
    <w:rsid w:val="49137521"/>
    <w:rsid w:val="4916548C"/>
    <w:rsid w:val="49170DBF"/>
    <w:rsid w:val="491E2DBF"/>
    <w:rsid w:val="49211C3E"/>
    <w:rsid w:val="49267254"/>
    <w:rsid w:val="492928A1"/>
    <w:rsid w:val="492B486B"/>
    <w:rsid w:val="492C413F"/>
    <w:rsid w:val="492E7EB7"/>
    <w:rsid w:val="49331971"/>
    <w:rsid w:val="494476DB"/>
    <w:rsid w:val="49470F79"/>
    <w:rsid w:val="49492F43"/>
    <w:rsid w:val="49520049"/>
    <w:rsid w:val="49535B70"/>
    <w:rsid w:val="49557B3A"/>
    <w:rsid w:val="495A6EFE"/>
    <w:rsid w:val="495C0A9C"/>
    <w:rsid w:val="495F4670"/>
    <w:rsid w:val="4961028C"/>
    <w:rsid w:val="49667651"/>
    <w:rsid w:val="496947E1"/>
    <w:rsid w:val="49724248"/>
    <w:rsid w:val="49725FF6"/>
    <w:rsid w:val="498126DD"/>
    <w:rsid w:val="49816239"/>
    <w:rsid w:val="49843F7B"/>
    <w:rsid w:val="49920446"/>
    <w:rsid w:val="49971F00"/>
    <w:rsid w:val="499C6CC0"/>
    <w:rsid w:val="49AA39E1"/>
    <w:rsid w:val="49AB1508"/>
    <w:rsid w:val="49AB59AC"/>
    <w:rsid w:val="49AC05F5"/>
    <w:rsid w:val="49AD1724"/>
    <w:rsid w:val="49AF724A"/>
    <w:rsid w:val="49B26D3A"/>
    <w:rsid w:val="49B44860"/>
    <w:rsid w:val="49B605D8"/>
    <w:rsid w:val="49BF4FB3"/>
    <w:rsid w:val="49C32CF5"/>
    <w:rsid w:val="49C3539C"/>
    <w:rsid w:val="49C64593"/>
    <w:rsid w:val="49C94AA9"/>
    <w:rsid w:val="49D071C0"/>
    <w:rsid w:val="49D22F38"/>
    <w:rsid w:val="49D56585"/>
    <w:rsid w:val="49DE7B2F"/>
    <w:rsid w:val="49E36EF3"/>
    <w:rsid w:val="49E54986"/>
    <w:rsid w:val="49E60792"/>
    <w:rsid w:val="49EA6313"/>
    <w:rsid w:val="49EA64D4"/>
    <w:rsid w:val="49EC3FFA"/>
    <w:rsid w:val="49FC7FB5"/>
    <w:rsid w:val="49FE5ADB"/>
    <w:rsid w:val="4A001853"/>
    <w:rsid w:val="4A034F83"/>
    <w:rsid w:val="4A0B78D0"/>
    <w:rsid w:val="4A0D3F70"/>
    <w:rsid w:val="4A111CB3"/>
    <w:rsid w:val="4A1672C9"/>
    <w:rsid w:val="4A1946C3"/>
    <w:rsid w:val="4A2319E6"/>
    <w:rsid w:val="4A235542"/>
    <w:rsid w:val="4A2A2D74"/>
    <w:rsid w:val="4A2A4B22"/>
    <w:rsid w:val="4A2F3EE7"/>
    <w:rsid w:val="4A3239D7"/>
    <w:rsid w:val="4A3B0ADD"/>
    <w:rsid w:val="4A3E237C"/>
    <w:rsid w:val="4A421E6C"/>
    <w:rsid w:val="4A435BE4"/>
    <w:rsid w:val="4A463ED2"/>
    <w:rsid w:val="4A4831FA"/>
    <w:rsid w:val="4A4D25BF"/>
    <w:rsid w:val="4A61143D"/>
    <w:rsid w:val="4A777A61"/>
    <w:rsid w:val="4A7D11D6"/>
    <w:rsid w:val="4A804742"/>
    <w:rsid w:val="4A82495E"/>
    <w:rsid w:val="4A82670C"/>
    <w:rsid w:val="4A873D23"/>
    <w:rsid w:val="4A895CED"/>
    <w:rsid w:val="4A8A736F"/>
    <w:rsid w:val="4A910F2B"/>
    <w:rsid w:val="4A91599C"/>
    <w:rsid w:val="4A954692"/>
    <w:rsid w:val="4A9A5C89"/>
    <w:rsid w:val="4A9E2E1A"/>
    <w:rsid w:val="4AAA61F4"/>
    <w:rsid w:val="4AAB2127"/>
    <w:rsid w:val="4AAC19DB"/>
    <w:rsid w:val="4AAC5537"/>
    <w:rsid w:val="4AB32D6A"/>
    <w:rsid w:val="4AB50183"/>
    <w:rsid w:val="4AB80380"/>
    <w:rsid w:val="4AB926A2"/>
    <w:rsid w:val="4AB97C54"/>
    <w:rsid w:val="4ABD3BF4"/>
    <w:rsid w:val="4AC73519"/>
    <w:rsid w:val="4AD0206A"/>
    <w:rsid w:val="4AD6479B"/>
    <w:rsid w:val="4AD9363D"/>
    <w:rsid w:val="4ADF76BB"/>
    <w:rsid w:val="4AE01685"/>
    <w:rsid w:val="4AE03433"/>
    <w:rsid w:val="4AE178D7"/>
    <w:rsid w:val="4AE254BD"/>
    <w:rsid w:val="4AF56EDE"/>
    <w:rsid w:val="4AF8077D"/>
    <w:rsid w:val="4AFB026D"/>
    <w:rsid w:val="4AFF7D22"/>
    <w:rsid w:val="4B052E99"/>
    <w:rsid w:val="4B0A3EE1"/>
    <w:rsid w:val="4B0E1D4E"/>
    <w:rsid w:val="4B0E61F2"/>
    <w:rsid w:val="4B111A14"/>
    <w:rsid w:val="4B11612F"/>
    <w:rsid w:val="4B1355B6"/>
    <w:rsid w:val="4B1650A7"/>
    <w:rsid w:val="4B1E132F"/>
    <w:rsid w:val="4B1E7CBA"/>
    <w:rsid w:val="4B201A81"/>
    <w:rsid w:val="4B234A29"/>
    <w:rsid w:val="4B245A16"/>
    <w:rsid w:val="4B257098"/>
    <w:rsid w:val="4B2B2900"/>
    <w:rsid w:val="4B2C6678"/>
    <w:rsid w:val="4B2E23F0"/>
    <w:rsid w:val="4B350A83"/>
    <w:rsid w:val="4B375A36"/>
    <w:rsid w:val="4B3A2B43"/>
    <w:rsid w:val="4B3D4DD9"/>
    <w:rsid w:val="4B3F63AB"/>
    <w:rsid w:val="4B424154"/>
    <w:rsid w:val="4B58121B"/>
    <w:rsid w:val="4B5A31E5"/>
    <w:rsid w:val="4B6C4B6D"/>
    <w:rsid w:val="4B7645F1"/>
    <w:rsid w:val="4B773D97"/>
    <w:rsid w:val="4B7A5635"/>
    <w:rsid w:val="4B7F2C4C"/>
    <w:rsid w:val="4B8244EA"/>
    <w:rsid w:val="4B885FA4"/>
    <w:rsid w:val="4B887D52"/>
    <w:rsid w:val="4B890BFF"/>
    <w:rsid w:val="4B897627"/>
    <w:rsid w:val="4B904E59"/>
    <w:rsid w:val="4B9743E4"/>
    <w:rsid w:val="4B9D30D2"/>
    <w:rsid w:val="4B9E7576"/>
    <w:rsid w:val="4BA11667"/>
    <w:rsid w:val="4BA601D9"/>
    <w:rsid w:val="4BA803F5"/>
    <w:rsid w:val="4BA91A77"/>
    <w:rsid w:val="4BB01057"/>
    <w:rsid w:val="4BB52B12"/>
    <w:rsid w:val="4BB5666E"/>
    <w:rsid w:val="4BBF74EC"/>
    <w:rsid w:val="4BC15012"/>
    <w:rsid w:val="4BC52D55"/>
    <w:rsid w:val="4BCC28EE"/>
    <w:rsid w:val="4BD42F98"/>
    <w:rsid w:val="4BD5286C"/>
    <w:rsid w:val="4BDA405B"/>
    <w:rsid w:val="4BDE5BC4"/>
    <w:rsid w:val="4BDF36EB"/>
    <w:rsid w:val="4BE11211"/>
    <w:rsid w:val="4BEA4569"/>
    <w:rsid w:val="4BEF467D"/>
    <w:rsid w:val="4BF03B4A"/>
    <w:rsid w:val="4BF13315"/>
    <w:rsid w:val="4BF21670"/>
    <w:rsid w:val="4BF90C50"/>
    <w:rsid w:val="4BF929FE"/>
    <w:rsid w:val="4BFA0524"/>
    <w:rsid w:val="4BFB49C8"/>
    <w:rsid w:val="4C066EC9"/>
    <w:rsid w:val="4C111032"/>
    <w:rsid w:val="4C15710C"/>
    <w:rsid w:val="4C1E06B7"/>
    <w:rsid w:val="4C207F8B"/>
    <w:rsid w:val="4C2511CC"/>
    <w:rsid w:val="4C26756B"/>
    <w:rsid w:val="4C2A0E0A"/>
    <w:rsid w:val="4C2D08FA"/>
    <w:rsid w:val="4C322340"/>
    <w:rsid w:val="4C39104D"/>
    <w:rsid w:val="4C3B4DC5"/>
    <w:rsid w:val="4C40062D"/>
    <w:rsid w:val="4C417F01"/>
    <w:rsid w:val="4C431D44"/>
    <w:rsid w:val="4C431ECB"/>
    <w:rsid w:val="4C455C43"/>
    <w:rsid w:val="4C4579F1"/>
    <w:rsid w:val="4C4C5224"/>
    <w:rsid w:val="4C4D68A6"/>
    <w:rsid w:val="4C545E87"/>
    <w:rsid w:val="4C5D11DF"/>
    <w:rsid w:val="4C6D0CF6"/>
    <w:rsid w:val="4C716A38"/>
    <w:rsid w:val="4C765DFD"/>
    <w:rsid w:val="4C7E2F03"/>
    <w:rsid w:val="4C83676C"/>
    <w:rsid w:val="4C854292"/>
    <w:rsid w:val="4C885B30"/>
    <w:rsid w:val="4C891FD4"/>
    <w:rsid w:val="4C9170DB"/>
    <w:rsid w:val="4C92075D"/>
    <w:rsid w:val="4C932E1E"/>
    <w:rsid w:val="4CA071DE"/>
    <w:rsid w:val="4CA0731E"/>
    <w:rsid w:val="4CA311D2"/>
    <w:rsid w:val="4CA43DA3"/>
    <w:rsid w:val="4CA54934"/>
    <w:rsid w:val="4CA77A95"/>
    <w:rsid w:val="4CAA1F4A"/>
    <w:rsid w:val="4CAF57B3"/>
    <w:rsid w:val="4CB132D9"/>
    <w:rsid w:val="4CB37051"/>
    <w:rsid w:val="4CB701C3"/>
    <w:rsid w:val="4CBF59F6"/>
    <w:rsid w:val="4CC74B6F"/>
    <w:rsid w:val="4CC90623"/>
    <w:rsid w:val="4CD174D7"/>
    <w:rsid w:val="4CD45888"/>
    <w:rsid w:val="4CD46FC7"/>
    <w:rsid w:val="4CD810BF"/>
    <w:rsid w:val="4CDB0356"/>
    <w:rsid w:val="4CDB65A8"/>
    <w:rsid w:val="4CDE39A2"/>
    <w:rsid w:val="4CDF7E46"/>
    <w:rsid w:val="4CE03BBE"/>
    <w:rsid w:val="4CE30FB8"/>
    <w:rsid w:val="4CE52F83"/>
    <w:rsid w:val="4CF907DC"/>
    <w:rsid w:val="4CFB4554"/>
    <w:rsid w:val="4CFB6302"/>
    <w:rsid w:val="4CFF4044"/>
    <w:rsid w:val="4D057181"/>
    <w:rsid w:val="4D094EC3"/>
    <w:rsid w:val="4D0E072B"/>
    <w:rsid w:val="4D0E4287"/>
    <w:rsid w:val="4D100502"/>
    <w:rsid w:val="4D197E75"/>
    <w:rsid w:val="4D1A0E7E"/>
    <w:rsid w:val="4D1F0243"/>
    <w:rsid w:val="4D1F3963"/>
    <w:rsid w:val="4D213A30"/>
    <w:rsid w:val="4D2407F9"/>
    <w:rsid w:val="4D275349"/>
    <w:rsid w:val="4D2910C1"/>
    <w:rsid w:val="4D2F0C0B"/>
    <w:rsid w:val="4D330192"/>
    <w:rsid w:val="4D3A507C"/>
    <w:rsid w:val="4D3C7046"/>
    <w:rsid w:val="4D3D691B"/>
    <w:rsid w:val="4D445EFB"/>
    <w:rsid w:val="4D455A02"/>
    <w:rsid w:val="4D4E28D6"/>
    <w:rsid w:val="4D4F0A12"/>
    <w:rsid w:val="4D583754"/>
    <w:rsid w:val="4D5D6FBD"/>
    <w:rsid w:val="4D616AAD"/>
    <w:rsid w:val="4D6C0BAC"/>
    <w:rsid w:val="4D6E11CA"/>
    <w:rsid w:val="4D6E6C73"/>
    <w:rsid w:val="4D73233C"/>
    <w:rsid w:val="4D750818"/>
    <w:rsid w:val="4D783DF7"/>
    <w:rsid w:val="4D7A7B6F"/>
    <w:rsid w:val="4D7D140D"/>
    <w:rsid w:val="4D7F33D7"/>
    <w:rsid w:val="4D812938"/>
    <w:rsid w:val="4D862070"/>
    <w:rsid w:val="4D875DE8"/>
    <w:rsid w:val="4D8A33D6"/>
    <w:rsid w:val="4D902EEE"/>
    <w:rsid w:val="4D9A1FBF"/>
    <w:rsid w:val="4D9A5B1B"/>
    <w:rsid w:val="4D9F3131"/>
    <w:rsid w:val="4DA155CD"/>
    <w:rsid w:val="4DA44BEC"/>
    <w:rsid w:val="4DA8648A"/>
    <w:rsid w:val="4DA92202"/>
    <w:rsid w:val="4DAB5F7A"/>
    <w:rsid w:val="4DBC3CE3"/>
    <w:rsid w:val="4DC808DA"/>
    <w:rsid w:val="4DCB03CA"/>
    <w:rsid w:val="4DCC2C28"/>
    <w:rsid w:val="4DCE2B1A"/>
    <w:rsid w:val="4DD02869"/>
    <w:rsid w:val="4DDC4386"/>
    <w:rsid w:val="4DDE1B74"/>
    <w:rsid w:val="4DE374C2"/>
    <w:rsid w:val="4DEA6AA2"/>
    <w:rsid w:val="4DF2651A"/>
    <w:rsid w:val="4DF74D1B"/>
    <w:rsid w:val="4DF76FB7"/>
    <w:rsid w:val="4DF80A94"/>
    <w:rsid w:val="4DF96CE5"/>
    <w:rsid w:val="4E0062C6"/>
    <w:rsid w:val="4E01203E"/>
    <w:rsid w:val="4E056021"/>
    <w:rsid w:val="4E0631B0"/>
    <w:rsid w:val="4E066C4A"/>
    <w:rsid w:val="4E0833CC"/>
    <w:rsid w:val="4E094A4F"/>
    <w:rsid w:val="4E0C2777"/>
    <w:rsid w:val="4E0F6509"/>
    <w:rsid w:val="4E102281"/>
    <w:rsid w:val="4E121FED"/>
    <w:rsid w:val="4E1753BE"/>
    <w:rsid w:val="4E17716C"/>
    <w:rsid w:val="4E192EE4"/>
    <w:rsid w:val="4E29584E"/>
    <w:rsid w:val="4E323FA5"/>
    <w:rsid w:val="4E3441C2"/>
    <w:rsid w:val="4E354915"/>
    <w:rsid w:val="4E393586"/>
    <w:rsid w:val="4E395334"/>
    <w:rsid w:val="4E473EF5"/>
    <w:rsid w:val="4E4D7031"/>
    <w:rsid w:val="4E572491"/>
    <w:rsid w:val="4E5A52AA"/>
    <w:rsid w:val="4E616639"/>
    <w:rsid w:val="4E676345"/>
    <w:rsid w:val="4E683E6B"/>
    <w:rsid w:val="4E6F51FA"/>
    <w:rsid w:val="4E775E5C"/>
    <w:rsid w:val="4E783CA3"/>
    <w:rsid w:val="4E7937FC"/>
    <w:rsid w:val="4E7C3473"/>
    <w:rsid w:val="4E8B1908"/>
    <w:rsid w:val="4E8C5DAC"/>
    <w:rsid w:val="4E8E3791"/>
    <w:rsid w:val="4E8F1391"/>
    <w:rsid w:val="4E923A74"/>
    <w:rsid w:val="4E9702AC"/>
    <w:rsid w:val="4E9764FE"/>
    <w:rsid w:val="4E994025"/>
    <w:rsid w:val="4EA2737D"/>
    <w:rsid w:val="4EA50C1B"/>
    <w:rsid w:val="4EA529C9"/>
    <w:rsid w:val="4EA56E6D"/>
    <w:rsid w:val="4EAA6232"/>
    <w:rsid w:val="4EAC01FC"/>
    <w:rsid w:val="4EAD5C2E"/>
    <w:rsid w:val="4EB40E5E"/>
    <w:rsid w:val="4EB41A99"/>
    <w:rsid w:val="4EB8094F"/>
    <w:rsid w:val="4EB946C7"/>
    <w:rsid w:val="4EBC7D13"/>
    <w:rsid w:val="4EBF6FC0"/>
    <w:rsid w:val="4EC512BE"/>
    <w:rsid w:val="4EC866B8"/>
    <w:rsid w:val="4ECA0682"/>
    <w:rsid w:val="4ECC43FA"/>
    <w:rsid w:val="4ED44C65"/>
    <w:rsid w:val="4ED4505D"/>
    <w:rsid w:val="4ED67027"/>
    <w:rsid w:val="4ED96B17"/>
    <w:rsid w:val="4EDD6607"/>
    <w:rsid w:val="4EDF237F"/>
    <w:rsid w:val="4EE03A01"/>
    <w:rsid w:val="4EE10A3A"/>
    <w:rsid w:val="4EE47996"/>
    <w:rsid w:val="4EE51018"/>
    <w:rsid w:val="4EE72FE2"/>
    <w:rsid w:val="4EE80B08"/>
    <w:rsid w:val="4EEE25C2"/>
    <w:rsid w:val="4EF120B3"/>
    <w:rsid w:val="4EF13E61"/>
    <w:rsid w:val="4EF42185"/>
    <w:rsid w:val="4EF851EF"/>
    <w:rsid w:val="4F022943"/>
    <w:rsid w:val="4F0A6CD0"/>
    <w:rsid w:val="4F111E0D"/>
    <w:rsid w:val="4F1C5920"/>
    <w:rsid w:val="4F1F1992"/>
    <w:rsid w:val="4F2558B8"/>
    <w:rsid w:val="4F276F3D"/>
    <w:rsid w:val="4F277882"/>
    <w:rsid w:val="4F2A2ECF"/>
    <w:rsid w:val="4F2C30EB"/>
    <w:rsid w:val="4F304989"/>
    <w:rsid w:val="4F361873"/>
    <w:rsid w:val="4F4026F2"/>
    <w:rsid w:val="4F440434"/>
    <w:rsid w:val="4F4727B8"/>
    <w:rsid w:val="4F493C9D"/>
    <w:rsid w:val="4F4A531F"/>
    <w:rsid w:val="4F4E12B3"/>
    <w:rsid w:val="4F512B51"/>
    <w:rsid w:val="4F5166AD"/>
    <w:rsid w:val="4F530677"/>
    <w:rsid w:val="4F622668"/>
    <w:rsid w:val="4F6476F0"/>
    <w:rsid w:val="4F675ED1"/>
    <w:rsid w:val="4F6C1739"/>
    <w:rsid w:val="4F756840"/>
    <w:rsid w:val="4F7C5E20"/>
    <w:rsid w:val="4F7D3946"/>
    <w:rsid w:val="4F826F9A"/>
    <w:rsid w:val="4F840831"/>
    <w:rsid w:val="4F846A83"/>
    <w:rsid w:val="4F876573"/>
    <w:rsid w:val="4F8847C5"/>
    <w:rsid w:val="4F8922EB"/>
    <w:rsid w:val="4F8D1DDB"/>
    <w:rsid w:val="4F8F7FCE"/>
    <w:rsid w:val="4F9111A0"/>
    <w:rsid w:val="4F93316A"/>
    <w:rsid w:val="4F960564"/>
    <w:rsid w:val="4F9C3DCC"/>
    <w:rsid w:val="4F9D6DAE"/>
    <w:rsid w:val="4FA15887"/>
    <w:rsid w:val="4FA233AD"/>
    <w:rsid w:val="4FA25BD4"/>
    <w:rsid w:val="4FA47173"/>
    <w:rsid w:val="4FAE1D52"/>
    <w:rsid w:val="4FB01626"/>
    <w:rsid w:val="4FB355BA"/>
    <w:rsid w:val="4FB629B4"/>
    <w:rsid w:val="4FC044B7"/>
    <w:rsid w:val="4FC21359"/>
    <w:rsid w:val="4FC7696F"/>
    <w:rsid w:val="4FC926E8"/>
    <w:rsid w:val="4FCB2904"/>
    <w:rsid w:val="4FD572DE"/>
    <w:rsid w:val="4FD73056"/>
    <w:rsid w:val="4FE44606"/>
    <w:rsid w:val="4FEC63D6"/>
    <w:rsid w:val="4FF04118"/>
    <w:rsid w:val="4FF43C08"/>
    <w:rsid w:val="4FF83F0C"/>
    <w:rsid w:val="4FFA0AF3"/>
    <w:rsid w:val="4FFA6D45"/>
    <w:rsid w:val="50015864"/>
    <w:rsid w:val="50083210"/>
    <w:rsid w:val="500D4CCA"/>
    <w:rsid w:val="500E459E"/>
    <w:rsid w:val="5012408F"/>
    <w:rsid w:val="50135F43"/>
    <w:rsid w:val="501E6ED7"/>
    <w:rsid w:val="501F0559"/>
    <w:rsid w:val="50281B04"/>
    <w:rsid w:val="502A709A"/>
    <w:rsid w:val="502F2E92"/>
    <w:rsid w:val="50395ABF"/>
    <w:rsid w:val="503E1327"/>
    <w:rsid w:val="503E30D6"/>
    <w:rsid w:val="50412BC6"/>
    <w:rsid w:val="50466CB3"/>
    <w:rsid w:val="504A7CCC"/>
    <w:rsid w:val="504B134F"/>
    <w:rsid w:val="505226DD"/>
    <w:rsid w:val="5053436F"/>
    <w:rsid w:val="50535FA7"/>
    <w:rsid w:val="505428F9"/>
    <w:rsid w:val="5055171C"/>
    <w:rsid w:val="505E1082"/>
    <w:rsid w:val="505E5526"/>
    <w:rsid w:val="505F4DFA"/>
    <w:rsid w:val="506375CD"/>
    <w:rsid w:val="50666188"/>
    <w:rsid w:val="506B19F1"/>
    <w:rsid w:val="506D094E"/>
    <w:rsid w:val="507054A4"/>
    <w:rsid w:val="50715259"/>
    <w:rsid w:val="50740CF9"/>
    <w:rsid w:val="50760AC1"/>
    <w:rsid w:val="50792360"/>
    <w:rsid w:val="507A1C34"/>
    <w:rsid w:val="507B7E86"/>
    <w:rsid w:val="507E7976"/>
    <w:rsid w:val="50804FC3"/>
    <w:rsid w:val="508605D9"/>
    <w:rsid w:val="508825A3"/>
    <w:rsid w:val="508A1E77"/>
    <w:rsid w:val="508A631B"/>
    <w:rsid w:val="508D1967"/>
    <w:rsid w:val="50903205"/>
    <w:rsid w:val="509F03AC"/>
    <w:rsid w:val="50A218B6"/>
    <w:rsid w:val="50A53155"/>
    <w:rsid w:val="50A70C7B"/>
    <w:rsid w:val="50A8054F"/>
    <w:rsid w:val="50A849F3"/>
    <w:rsid w:val="50AD025B"/>
    <w:rsid w:val="50B25872"/>
    <w:rsid w:val="50BE4216"/>
    <w:rsid w:val="50C11611"/>
    <w:rsid w:val="50C17863"/>
    <w:rsid w:val="50C8299F"/>
    <w:rsid w:val="50CA4969"/>
    <w:rsid w:val="50CF2F1E"/>
    <w:rsid w:val="50D17AA6"/>
    <w:rsid w:val="50DB6B76"/>
    <w:rsid w:val="50DC644B"/>
    <w:rsid w:val="50E772C9"/>
    <w:rsid w:val="50E81293"/>
    <w:rsid w:val="50EB44E2"/>
    <w:rsid w:val="50EC48E0"/>
    <w:rsid w:val="50EF617E"/>
    <w:rsid w:val="50F10148"/>
    <w:rsid w:val="50F1639A"/>
    <w:rsid w:val="50F4246D"/>
    <w:rsid w:val="51063B27"/>
    <w:rsid w:val="510734C7"/>
    <w:rsid w:val="510816CF"/>
    <w:rsid w:val="510C4F82"/>
    <w:rsid w:val="510F05CE"/>
    <w:rsid w:val="51121E6C"/>
    <w:rsid w:val="5119172D"/>
    <w:rsid w:val="512978E2"/>
    <w:rsid w:val="512C3D35"/>
    <w:rsid w:val="512C5624"/>
    <w:rsid w:val="51302B55"/>
    <w:rsid w:val="51312C3A"/>
    <w:rsid w:val="513149E8"/>
    <w:rsid w:val="5139389D"/>
    <w:rsid w:val="513B0F0A"/>
    <w:rsid w:val="513B13C3"/>
    <w:rsid w:val="513B7BF3"/>
    <w:rsid w:val="5144296E"/>
    <w:rsid w:val="51516E38"/>
    <w:rsid w:val="515406D7"/>
    <w:rsid w:val="515A3F3F"/>
    <w:rsid w:val="515B1A65"/>
    <w:rsid w:val="51656440"/>
    <w:rsid w:val="516E3547"/>
    <w:rsid w:val="51714DE5"/>
    <w:rsid w:val="517174DB"/>
    <w:rsid w:val="51736DAF"/>
    <w:rsid w:val="51750D79"/>
    <w:rsid w:val="51790C79"/>
    <w:rsid w:val="5187285A"/>
    <w:rsid w:val="51954F77"/>
    <w:rsid w:val="51982514"/>
    <w:rsid w:val="519C4558"/>
    <w:rsid w:val="519D207E"/>
    <w:rsid w:val="519F7BA4"/>
    <w:rsid w:val="51A056CA"/>
    <w:rsid w:val="51A76A58"/>
    <w:rsid w:val="51AB6549"/>
    <w:rsid w:val="51AC22C1"/>
    <w:rsid w:val="51AE428B"/>
    <w:rsid w:val="51B353FD"/>
    <w:rsid w:val="51B66C9C"/>
    <w:rsid w:val="51C07B1A"/>
    <w:rsid w:val="51C615D4"/>
    <w:rsid w:val="51CB0999"/>
    <w:rsid w:val="51CB6BEB"/>
    <w:rsid w:val="51D41662"/>
    <w:rsid w:val="51DB0823"/>
    <w:rsid w:val="51DB6702"/>
    <w:rsid w:val="51DD06CC"/>
    <w:rsid w:val="51E101BC"/>
    <w:rsid w:val="51E14DCF"/>
    <w:rsid w:val="51F003FF"/>
    <w:rsid w:val="51FD48CA"/>
    <w:rsid w:val="51FE25E7"/>
    <w:rsid w:val="520420FD"/>
    <w:rsid w:val="52065E75"/>
    <w:rsid w:val="520D51E4"/>
    <w:rsid w:val="520D7203"/>
    <w:rsid w:val="52135808"/>
    <w:rsid w:val="52151C14"/>
    <w:rsid w:val="521A722A"/>
    <w:rsid w:val="521E31BF"/>
    <w:rsid w:val="5224454D"/>
    <w:rsid w:val="52291B63"/>
    <w:rsid w:val="522A443B"/>
    <w:rsid w:val="522E2CD6"/>
    <w:rsid w:val="52306A4E"/>
    <w:rsid w:val="52344790"/>
    <w:rsid w:val="523522B6"/>
    <w:rsid w:val="52362E00"/>
    <w:rsid w:val="523C1897"/>
    <w:rsid w:val="52432C25"/>
    <w:rsid w:val="5246001F"/>
    <w:rsid w:val="52546BE0"/>
    <w:rsid w:val="52552958"/>
    <w:rsid w:val="525F5585"/>
    <w:rsid w:val="52636E23"/>
    <w:rsid w:val="52643C20"/>
    <w:rsid w:val="526606C2"/>
    <w:rsid w:val="527903F5"/>
    <w:rsid w:val="527C6137"/>
    <w:rsid w:val="527C7EE5"/>
    <w:rsid w:val="527E3C5D"/>
    <w:rsid w:val="527E5A0B"/>
    <w:rsid w:val="528172AA"/>
    <w:rsid w:val="52833022"/>
    <w:rsid w:val="5288688A"/>
    <w:rsid w:val="528A0854"/>
    <w:rsid w:val="528B0128"/>
    <w:rsid w:val="528B1ED6"/>
    <w:rsid w:val="528D3EA0"/>
    <w:rsid w:val="529202DB"/>
    <w:rsid w:val="52952418"/>
    <w:rsid w:val="52963172"/>
    <w:rsid w:val="529C0587"/>
    <w:rsid w:val="529E42FF"/>
    <w:rsid w:val="529E60AD"/>
    <w:rsid w:val="52A80CDA"/>
    <w:rsid w:val="52AA2CA4"/>
    <w:rsid w:val="52B21B59"/>
    <w:rsid w:val="52B7716F"/>
    <w:rsid w:val="52B92EE7"/>
    <w:rsid w:val="52B953EE"/>
    <w:rsid w:val="52BE04FE"/>
    <w:rsid w:val="52C63B75"/>
    <w:rsid w:val="52CA29FF"/>
    <w:rsid w:val="52CB6E18"/>
    <w:rsid w:val="52D65847"/>
    <w:rsid w:val="52D90E94"/>
    <w:rsid w:val="52DF6735"/>
    <w:rsid w:val="52E31D12"/>
    <w:rsid w:val="52E55A8A"/>
    <w:rsid w:val="52E63DAD"/>
    <w:rsid w:val="52EF4B5B"/>
    <w:rsid w:val="52F3346A"/>
    <w:rsid w:val="52F421A7"/>
    <w:rsid w:val="52FD1026"/>
    <w:rsid w:val="530103EA"/>
    <w:rsid w:val="53083527"/>
    <w:rsid w:val="530D4FE1"/>
    <w:rsid w:val="5311478A"/>
    <w:rsid w:val="5311687F"/>
    <w:rsid w:val="53146370"/>
    <w:rsid w:val="532742F5"/>
    <w:rsid w:val="53280052"/>
    <w:rsid w:val="53281E1B"/>
    <w:rsid w:val="532A15BC"/>
    <w:rsid w:val="53302A43"/>
    <w:rsid w:val="53346A12"/>
    <w:rsid w:val="533B1B4E"/>
    <w:rsid w:val="533B56AA"/>
    <w:rsid w:val="533F163E"/>
    <w:rsid w:val="53434506"/>
    <w:rsid w:val="53494264"/>
    <w:rsid w:val="53513120"/>
    <w:rsid w:val="53582700"/>
    <w:rsid w:val="53590226"/>
    <w:rsid w:val="53605111"/>
    <w:rsid w:val="536C4892"/>
    <w:rsid w:val="537B019D"/>
    <w:rsid w:val="537D2167"/>
    <w:rsid w:val="538928BA"/>
    <w:rsid w:val="538C6936"/>
    <w:rsid w:val="538E7ED0"/>
    <w:rsid w:val="5394125E"/>
    <w:rsid w:val="53966D85"/>
    <w:rsid w:val="539B083F"/>
    <w:rsid w:val="539D6365"/>
    <w:rsid w:val="539F20DD"/>
    <w:rsid w:val="53A07C03"/>
    <w:rsid w:val="53B316E5"/>
    <w:rsid w:val="53B7522D"/>
    <w:rsid w:val="53B8319F"/>
    <w:rsid w:val="53BB6386"/>
    <w:rsid w:val="53C71634"/>
    <w:rsid w:val="53C75190"/>
    <w:rsid w:val="53D02297"/>
    <w:rsid w:val="53D80EDC"/>
    <w:rsid w:val="53DD2C05"/>
    <w:rsid w:val="53E0348E"/>
    <w:rsid w:val="53E06252"/>
    <w:rsid w:val="53E43F94"/>
    <w:rsid w:val="53E53868"/>
    <w:rsid w:val="53EB36A7"/>
    <w:rsid w:val="53EB5322"/>
    <w:rsid w:val="53EB70D0"/>
    <w:rsid w:val="53F57F4F"/>
    <w:rsid w:val="53FF492A"/>
    <w:rsid w:val="54065CB8"/>
    <w:rsid w:val="541303D5"/>
    <w:rsid w:val="5415414D"/>
    <w:rsid w:val="541D74A6"/>
    <w:rsid w:val="541F5BC0"/>
    <w:rsid w:val="54212AF2"/>
    <w:rsid w:val="54214D2C"/>
    <w:rsid w:val="54216F96"/>
    <w:rsid w:val="54240834"/>
    <w:rsid w:val="54245B28"/>
    <w:rsid w:val="542645AC"/>
    <w:rsid w:val="54295E4B"/>
    <w:rsid w:val="54297BF9"/>
    <w:rsid w:val="542E16B3"/>
    <w:rsid w:val="543071D9"/>
    <w:rsid w:val="54317FA9"/>
    <w:rsid w:val="543409E5"/>
    <w:rsid w:val="54372316"/>
    <w:rsid w:val="54377AF1"/>
    <w:rsid w:val="543A1E06"/>
    <w:rsid w:val="543C5B7E"/>
    <w:rsid w:val="543E18F6"/>
    <w:rsid w:val="54422A68"/>
    <w:rsid w:val="54444A33"/>
    <w:rsid w:val="544467E1"/>
    <w:rsid w:val="54462559"/>
    <w:rsid w:val="544B4013"/>
    <w:rsid w:val="544B7F70"/>
    <w:rsid w:val="545253A1"/>
    <w:rsid w:val="54556C40"/>
    <w:rsid w:val="545C1D7C"/>
    <w:rsid w:val="545C4D54"/>
    <w:rsid w:val="545D78A2"/>
    <w:rsid w:val="545E160B"/>
    <w:rsid w:val="54656F77"/>
    <w:rsid w:val="546D5D37"/>
    <w:rsid w:val="546E1AAF"/>
    <w:rsid w:val="54705828"/>
    <w:rsid w:val="5472334E"/>
    <w:rsid w:val="5474356A"/>
    <w:rsid w:val="54752E3E"/>
    <w:rsid w:val="54774E08"/>
    <w:rsid w:val="547C5F7A"/>
    <w:rsid w:val="547D1CF3"/>
    <w:rsid w:val="548B2661"/>
    <w:rsid w:val="548E64A2"/>
    <w:rsid w:val="5495703C"/>
    <w:rsid w:val="54992FD0"/>
    <w:rsid w:val="54994D7E"/>
    <w:rsid w:val="549A4653"/>
    <w:rsid w:val="549F610D"/>
    <w:rsid w:val="54A159E1"/>
    <w:rsid w:val="54A274E9"/>
    <w:rsid w:val="54A31759"/>
    <w:rsid w:val="54A6749B"/>
    <w:rsid w:val="54A84FC1"/>
    <w:rsid w:val="54AE00FE"/>
    <w:rsid w:val="54AF45A2"/>
    <w:rsid w:val="54B020C8"/>
    <w:rsid w:val="54B5148C"/>
    <w:rsid w:val="54BB4C4C"/>
    <w:rsid w:val="54BE2A37"/>
    <w:rsid w:val="54BF230B"/>
    <w:rsid w:val="54CA13DC"/>
    <w:rsid w:val="54CF69F2"/>
    <w:rsid w:val="54D729E5"/>
    <w:rsid w:val="54D9161F"/>
    <w:rsid w:val="54E029AD"/>
    <w:rsid w:val="54E5072B"/>
    <w:rsid w:val="54E63D3C"/>
    <w:rsid w:val="54E81862"/>
    <w:rsid w:val="54EA7388"/>
    <w:rsid w:val="54EB4EAE"/>
    <w:rsid w:val="54ED6E78"/>
    <w:rsid w:val="54EF499E"/>
    <w:rsid w:val="54F00716"/>
    <w:rsid w:val="54F16968"/>
    <w:rsid w:val="54F2448F"/>
    <w:rsid w:val="54F95460"/>
    <w:rsid w:val="54FB1595"/>
    <w:rsid w:val="54FC355F"/>
    <w:rsid w:val="54FE1085"/>
    <w:rsid w:val="550146D2"/>
    <w:rsid w:val="550B5550"/>
    <w:rsid w:val="550D12C8"/>
    <w:rsid w:val="551C150B"/>
    <w:rsid w:val="551D59AF"/>
    <w:rsid w:val="55202DAA"/>
    <w:rsid w:val="5524049C"/>
    <w:rsid w:val="552A00CC"/>
    <w:rsid w:val="552A3C28"/>
    <w:rsid w:val="552F123F"/>
    <w:rsid w:val="552F3D56"/>
    <w:rsid w:val="5535407A"/>
    <w:rsid w:val="5540169E"/>
    <w:rsid w:val="554035A2"/>
    <w:rsid w:val="554C0043"/>
    <w:rsid w:val="554C3B9F"/>
    <w:rsid w:val="554F3638"/>
    <w:rsid w:val="554F625A"/>
    <w:rsid w:val="555111B5"/>
    <w:rsid w:val="5552317F"/>
    <w:rsid w:val="55533432"/>
    <w:rsid w:val="5556223E"/>
    <w:rsid w:val="55564A1D"/>
    <w:rsid w:val="55572544"/>
    <w:rsid w:val="5559450E"/>
    <w:rsid w:val="555F60C6"/>
    <w:rsid w:val="55627866"/>
    <w:rsid w:val="55674E7D"/>
    <w:rsid w:val="5568580C"/>
    <w:rsid w:val="556A671B"/>
    <w:rsid w:val="556C0353"/>
    <w:rsid w:val="556E2C73"/>
    <w:rsid w:val="556F1F83"/>
    <w:rsid w:val="55733821"/>
    <w:rsid w:val="557C1FAA"/>
    <w:rsid w:val="55807CEC"/>
    <w:rsid w:val="55821CB6"/>
    <w:rsid w:val="55825812"/>
    <w:rsid w:val="55872E29"/>
    <w:rsid w:val="558D41B7"/>
    <w:rsid w:val="558F6181"/>
    <w:rsid w:val="55942855"/>
    <w:rsid w:val="55945546"/>
    <w:rsid w:val="559612BE"/>
    <w:rsid w:val="559B2D78"/>
    <w:rsid w:val="559E63C4"/>
    <w:rsid w:val="559F4616"/>
    <w:rsid w:val="55A0038E"/>
    <w:rsid w:val="55AC288F"/>
    <w:rsid w:val="55B251ED"/>
    <w:rsid w:val="55BB0D24"/>
    <w:rsid w:val="55BF7CC1"/>
    <w:rsid w:val="55C01D8B"/>
    <w:rsid w:val="55C01EA1"/>
    <w:rsid w:val="55C37BD9"/>
    <w:rsid w:val="55C4407D"/>
    <w:rsid w:val="55C91693"/>
    <w:rsid w:val="55CE3D63"/>
    <w:rsid w:val="55D156FE"/>
    <w:rsid w:val="55D32512"/>
    <w:rsid w:val="55D50038"/>
    <w:rsid w:val="55DB4F23"/>
    <w:rsid w:val="55DF2C65"/>
    <w:rsid w:val="55F67FAE"/>
    <w:rsid w:val="55F81F79"/>
    <w:rsid w:val="55F85AD5"/>
    <w:rsid w:val="56002BDB"/>
    <w:rsid w:val="56026953"/>
    <w:rsid w:val="56051FA0"/>
    <w:rsid w:val="560B4AC1"/>
    <w:rsid w:val="560C0C15"/>
    <w:rsid w:val="560E70A6"/>
    <w:rsid w:val="561072C2"/>
    <w:rsid w:val="56116B96"/>
    <w:rsid w:val="56130B60"/>
    <w:rsid w:val="56196099"/>
    <w:rsid w:val="561A3C9D"/>
    <w:rsid w:val="561A5A4B"/>
    <w:rsid w:val="561F0A4B"/>
    <w:rsid w:val="561F12B3"/>
    <w:rsid w:val="561F7505"/>
    <w:rsid w:val="5627460C"/>
    <w:rsid w:val="56275F3C"/>
    <w:rsid w:val="562B5EAA"/>
    <w:rsid w:val="562E599A"/>
    <w:rsid w:val="563216CA"/>
    <w:rsid w:val="56384123"/>
    <w:rsid w:val="563A60ED"/>
    <w:rsid w:val="563D3E2F"/>
    <w:rsid w:val="565048AE"/>
    <w:rsid w:val="56513437"/>
    <w:rsid w:val="565730C7"/>
    <w:rsid w:val="56574EF1"/>
    <w:rsid w:val="56582A17"/>
    <w:rsid w:val="565A053D"/>
    <w:rsid w:val="565C6063"/>
    <w:rsid w:val="565F5B54"/>
    <w:rsid w:val="566118CC"/>
    <w:rsid w:val="5661367A"/>
    <w:rsid w:val="566273F2"/>
    <w:rsid w:val="566B274A"/>
    <w:rsid w:val="566B44F9"/>
    <w:rsid w:val="566D3E5D"/>
    <w:rsid w:val="566D6A2E"/>
    <w:rsid w:val="566E223B"/>
    <w:rsid w:val="566F4E48"/>
    <w:rsid w:val="56717635"/>
    <w:rsid w:val="567726B1"/>
    <w:rsid w:val="567A1BDB"/>
    <w:rsid w:val="567D422C"/>
    <w:rsid w:val="56821842"/>
    <w:rsid w:val="56856C11"/>
    <w:rsid w:val="568E01E7"/>
    <w:rsid w:val="568E6439"/>
    <w:rsid w:val="569A3030"/>
    <w:rsid w:val="569B67D6"/>
    <w:rsid w:val="56A17F1A"/>
    <w:rsid w:val="56A71364"/>
    <w:rsid w:val="56A87648"/>
    <w:rsid w:val="56A96DCF"/>
    <w:rsid w:val="56B0015D"/>
    <w:rsid w:val="56B22127"/>
    <w:rsid w:val="56B310C2"/>
    <w:rsid w:val="56B71599"/>
    <w:rsid w:val="56B75990"/>
    <w:rsid w:val="56B7773E"/>
    <w:rsid w:val="56C105BC"/>
    <w:rsid w:val="56C37E91"/>
    <w:rsid w:val="56C8194B"/>
    <w:rsid w:val="56C87B9D"/>
    <w:rsid w:val="56CD6F61"/>
    <w:rsid w:val="56CE4A87"/>
    <w:rsid w:val="56CE6835"/>
    <w:rsid w:val="56D46542"/>
    <w:rsid w:val="56D93B58"/>
    <w:rsid w:val="56DA342C"/>
    <w:rsid w:val="56DC71A4"/>
    <w:rsid w:val="56DF6C95"/>
    <w:rsid w:val="56E07420"/>
    <w:rsid w:val="56E10C5F"/>
    <w:rsid w:val="56E85B49"/>
    <w:rsid w:val="56E878F7"/>
    <w:rsid w:val="56E9366F"/>
    <w:rsid w:val="56ED13B1"/>
    <w:rsid w:val="56EE1591"/>
    <w:rsid w:val="56F75D8C"/>
    <w:rsid w:val="56FC7846"/>
    <w:rsid w:val="56FE536D"/>
    <w:rsid w:val="57087F99"/>
    <w:rsid w:val="570A1F63"/>
    <w:rsid w:val="570D1A54"/>
    <w:rsid w:val="570D3802"/>
    <w:rsid w:val="57212E09"/>
    <w:rsid w:val="57234DD3"/>
    <w:rsid w:val="572528F9"/>
    <w:rsid w:val="572D17AE"/>
    <w:rsid w:val="572E2DA2"/>
    <w:rsid w:val="572F3778"/>
    <w:rsid w:val="57325016"/>
    <w:rsid w:val="5737087F"/>
    <w:rsid w:val="57387AA9"/>
    <w:rsid w:val="573A532E"/>
    <w:rsid w:val="573B211D"/>
    <w:rsid w:val="57405985"/>
    <w:rsid w:val="574A02E3"/>
    <w:rsid w:val="574A2360"/>
    <w:rsid w:val="574D3BFE"/>
    <w:rsid w:val="574E49F5"/>
    <w:rsid w:val="57527466"/>
    <w:rsid w:val="575907F5"/>
    <w:rsid w:val="57607DD5"/>
    <w:rsid w:val="576158FB"/>
    <w:rsid w:val="576378C6"/>
    <w:rsid w:val="57672F12"/>
    <w:rsid w:val="57680A38"/>
    <w:rsid w:val="576A226A"/>
    <w:rsid w:val="576A2A02"/>
    <w:rsid w:val="5774562F"/>
    <w:rsid w:val="5778511F"/>
    <w:rsid w:val="577B4C0F"/>
    <w:rsid w:val="57805D82"/>
    <w:rsid w:val="57864FE8"/>
    <w:rsid w:val="5794182D"/>
    <w:rsid w:val="5797131D"/>
    <w:rsid w:val="579D5664"/>
    <w:rsid w:val="57A203EE"/>
    <w:rsid w:val="57A376BC"/>
    <w:rsid w:val="57A8672B"/>
    <w:rsid w:val="57B36157"/>
    <w:rsid w:val="57B813CA"/>
    <w:rsid w:val="57BC2B32"/>
    <w:rsid w:val="57C57C38"/>
    <w:rsid w:val="57CD1CE9"/>
    <w:rsid w:val="57CE11E3"/>
    <w:rsid w:val="57CF44B7"/>
    <w:rsid w:val="57D04F5B"/>
    <w:rsid w:val="57D63BF4"/>
    <w:rsid w:val="57DD31D4"/>
    <w:rsid w:val="57E16138"/>
    <w:rsid w:val="57E74053"/>
    <w:rsid w:val="57EA58F1"/>
    <w:rsid w:val="57EC1669"/>
    <w:rsid w:val="57F347A6"/>
    <w:rsid w:val="57F64A80"/>
    <w:rsid w:val="57F66044"/>
    <w:rsid w:val="57FB6D59"/>
    <w:rsid w:val="57FB7AFE"/>
    <w:rsid w:val="57FD3876"/>
    <w:rsid w:val="58006EC2"/>
    <w:rsid w:val="58011C6F"/>
    <w:rsid w:val="58042049"/>
    <w:rsid w:val="58050311"/>
    <w:rsid w:val="580E15DF"/>
    <w:rsid w:val="580E5A83"/>
    <w:rsid w:val="58136BF6"/>
    <w:rsid w:val="5818420C"/>
    <w:rsid w:val="58226A99"/>
    <w:rsid w:val="58244F2D"/>
    <w:rsid w:val="5827444F"/>
    <w:rsid w:val="582E3A30"/>
    <w:rsid w:val="583628E4"/>
    <w:rsid w:val="583A0151"/>
    <w:rsid w:val="583B7EFB"/>
    <w:rsid w:val="583C439E"/>
    <w:rsid w:val="583D0117"/>
    <w:rsid w:val="584543F9"/>
    <w:rsid w:val="584B45E2"/>
    <w:rsid w:val="58522703"/>
    <w:rsid w:val="5853793A"/>
    <w:rsid w:val="58555460"/>
    <w:rsid w:val="58580AAD"/>
    <w:rsid w:val="585F62DF"/>
    <w:rsid w:val="586025AF"/>
    <w:rsid w:val="58615BB3"/>
    <w:rsid w:val="586456A3"/>
    <w:rsid w:val="58675193"/>
    <w:rsid w:val="58682C37"/>
    <w:rsid w:val="586B07E0"/>
    <w:rsid w:val="586B6A32"/>
    <w:rsid w:val="586E02D0"/>
    <w:rsid w:val="587358E6"/>
    <w:rsid w:val="587C0C3F"/>
    <w:rsid w:val="587F6039"/>
    <w:rsid w:val="5882708A"/>
    <w:rsid w:val="588418A2"/>
    <w:rsid w:val="589715D5"/>
    <w:rsid w:val="589E6E07"/>
    <w:rsid w:val="58A27F7A"/>
    <w:rsid w:val="58AC2BA6"/>
    <w:rsid w:val="58AE2DC2"/>
    <w:rsid w:val="58B06B3A"/>
    <w:rsid w:val="58B32187"/>
    <w:rsid w:val="58B54151"/>
    <w:rsid w:val="58BC728D"/>
    <w:rsid w:val="58C12AF6"/>
    <w:rsid w:val="58C46142"/>
    <w:rsid w:val="58C63C68"/>
    <w:rsid w:val="58C779E0"/>
    <w:rsid w:val="58C83E84"/>
    <w:rsid w:val="58D345D7"/>
    <w:rsid w:val="58D565A1"/>
    <w:rsid w:val="58DF3A45"/>
    <w:rsid w:val="58E14F46"/>
    <w:rsid w:val="58E3481A"/>
    <w:rsid w:val="58E40592"/>
    <w:rsid w:val="58E42340"/>
    <w:rsid w:val="58EC75C1"/>
    <w:rsid w:val="58ED38EB"/>
    <w:rsid w:val="58EE26E9"/>
    <w:rsid w:val="5902592B"/>
    <w:rsid w:val="590429E2"/>
    <w:rsid w:val="59080725"/>
    <w:rsid w:val="590B5B1F"/>
    <w:rsid w:val="590C5693"/>
    <w:rsid w:val="59102873"/>
    <w:rsid w:val="59107D35"/>
    <w:rsid w:val="59116EBF"/>
    <w:rsid w:val="59140E77"/>
    <w:rsid w:val="591470C9"/>
    <w:rsid w:val="5915074C"/>
    <w:rsid w:val="59172716"/>
    <w:rsid w:val="5919648E"/>
    <w:rsid w:val="591E5852"/>
    <w:rsid w:val="591F781C"/>
    <w:rsid w:val="592310BA"/>
    <w:rsid w:val="59260BAB"/>
    <w:rsid w:val="59282B75"/>
    <w:rsid w:val="592941F7"/>
    <w:rsid w:val="59294AF3"/>
    <w:rsid w:val="592B61C1"/>
    <w:rsid w:val="592B7F6F"/>
    <w:rsid w:val="592D0598"/>
    <w:rsid w:val="59410815"/>
    <w:rsid w:val="59441031"/>
    <w:rsid w:val="594554D5"/>
    <w:rsid w:val="594A0E70"/>
    <w:rsid w:val="594A2AEB"/>
    <w:rsid w:val="594A3E93"/>
    <w:rsid w:val="594F0101"/>
    <w:rsid w:val="595079D6"/>
    <w:rsid w:val="5952374E"/>
    <w:rsid w:val="59543849"/>
    <w:rsid w:val="59554FEC"/>
    <w:rsid w:val="595A3988"/>
    <w:rsid w:val="595B0854"/>
    <w:rsid w:val="595B6AA6"/>
    <w:rsid w:val="595C45CC"/>
    <w:rsid w:val="595E0345"/>
    <w:rsid w:val="595E3799"/>
    <w:rsid w:val="5966544B"/>
    <w:rsid w:val="59682F71"/>
    <w:rsid w:val="59701E26"/>
    <w:rsid w:val="59741916"/>
    <w:rsid w:val="597D6D22"/>
    <w:rsid w:val="5980475F"/>
    <w:rsid w:val="59822285"/>
    <w:rsid w:val="598C74CC"/>
    <w:rsid w:val="598F04FE"/>
    <w:rsid w:val="599124C8"/>
    <w:rsid w:val="59943D66"/>
    <w:rsid w:val="59975605"/>
    <w:rsid w:val="599C2C1B"/>
    <w:rsid w:val="59A044B9"/>
    <w:rsid w:val="59B069ED"/>
    <w:rsid w:val="59B937CD"/>
    <w:rsid w:val="59BB183B"/>
    <w:rsid w:val="59C12681"/>
    <w:rsid w:val="59D5500D"/>
    <w:rsid w:val="59D73661"/>
    <w:rsid w:val="59D95C1D"/>
    <w:rsid w:val="59D96856"/>
    <w:rsid w:val="59DB7BE7"/>
    <w:rsid w:val="59DC0454"/>
    <w:rsid w:val="59DD379F"/>
    <w:rsid w:val="59DE1485"/>
    <w:rsid w:val="59DF76D7"/>
    <w:rsid w:val="59E051FD"/>
    <w:rsid w:val="59E36A9C"/>
    <w:rsid w:val="59E92304"/>
    <w:rsid w:val="59EA7E2A"/>
    <w:rsid w:val="59EC3BA2"/>
    <w:rsid w:val="59EC5950"/>
    <w:rsid w:val="59EC7EB4"/>
    <w:rsid w:val="59F60465"/>
    <w:rsid w:val="59F667CF"/>
    <w:rsid w:val="59F91E1B"/>
    <w:rsid w:val="59FD5DAF"/>
    <w:rsid w:val="5A0013FC"/>
    <w:rsid w:val="5A0031AA"/>
    <w:rsid w:val="5A137381"/>
    <w:rsid w:val="5A166E71"/>
    <w:rsid w:val="5A183C84"/>
    <w:rsid w:val="5A1976E0"/>
    <w:rsid w:val="5A1B7FE4"/>
    <w:rsid w:val="5A1D3D5C"/>
    <w:rsid w:val="5A1F5D26"/>
    <w:rsid w:val="5A236E98"/>
    <w:rsid w:val="5A276988"/>
    <w:rsid w:val="5A2E1C4B"/>
    <w:rsid w:val="5A3A7C62"/>
    <w:rsid w:val="5A3D43FE"/>
    <w:rsid w:val="5A4033C2"/>
    <w:rsid w:val="5A407A4A"/>
    <w:rsid w:val="5A56726E"/>
    <w:rsid w:val="5A5A6003"/>
    <w:rsid w:val="5A6279C1"/>
    <w:rsid w:val="5A6333C7"/>
    <w:rsid w:val="5A663955"/>
    <w:rsid w:val="5A696FA1"/>
    <w:rsid w:val="5A6B7603"/>
    <w:rsid w:val="5A6D674C"/>
    <w:rsid w:val="5A755946"/>
    <w:rsid w:val="5A7C3484"/>
    <w:rsid w:val="5A7C4F26"/>
    <w:rsid w:val="5A7F0572"/>
    <w:rsid w:val="5A867B53"/>
    <w:rsid w:val="5A875679"/>
    <w:rsid w:val="5A8D7133"/>
    <w:rsid w:val="5A957D96"/>
    <w:rsid w:val="5A981634"/>
    <w:rsid w:val="5A9F29C3"/>
    <w:rsid w:val="5A9F6E67"/>
    <w:rsid w:val="5AA20705"/>
    <w:rsid w:val="5AA219DE"/>
    <w:rsid w:val="5AA36E51"/>
    <w:rsid w:val="5AA47FD9"/>
    <w:rsid w:val="5AA82B94"/>
    <w:rsid w:val="5AA93841"/>
    <w:rsid w:val="5AAB1367"/>
    <w:rsid w:val="5AAD0408"/>
    <w:rsid w:val="5AAD1584"/>
    <w:rsid w:val="5AB67D0C"/>
    <w:rsid w:val="5AB741B0"/>
    <w:rsid w:val="5AC62645"/>
    <w:rsid w:val="5AC63BF3"/>
    <w:rsid w:val="5AC920F3"/>
    <w:rsid w:val="5AC97A40"/>
    <w:rsid w:val="5ACC12DE"/>
    <w:rsid w:val="5ACD216B"/>
    <w:rsid w:val="5AD308BE"/>
    <w:rsid w:val="5ADD173D"/>
    <w:rsid w:val="5ADF3707"/>
    <w:rsid w:val="5AE96334"/>
    <w:rsid w:val="5AEE74A6"/>
    <w:rsid w:val="5AF26F96"/>
    <w:rsid w:val="5AF30F60"/>
    <w:rsid w:val="5AF32C10"/>
    <w:rsid w:val="5AF54CD9"/>
    <w:rsid w:val="5AFA5E4B"/>
    <w:rsid w:val="5AFE3B8D"/>
    <w:rsid w:val="5AFF005E"/>
    <w:rsid w:val="5B062A42"/>
    <w:rsid w:val="5B0647F0"/>
    <w:rsid w:val="5B070568"/>
    <w:rsid w:val="5B0E18F6"/>
    <w:rsid w:val="5B166238"/>
    <w:rsid w:val="5B170C07"/>
    <w:rsid w:val="5B1A473F"/>
    <w:rsid w:val="5B254B4B"/>
    <w:rsid w:val="5B264E92"/>
    <w:rsid w:val="5B2D6220"/>
    <w:rsid w:val="5B305D11"/>
    <w:rsid w:val="5B345801"/>
    <w:rsid w:val="5B362F49"/>
    <w:rsid w:val="5B3A26EB"/>
    <w:rsid w:val="5B3B312F"/>
    <w:rsid w:val="5B3C46B5"/>
    <w:rsid w:val="5B4517BC"/>
    <w:rsid w:val="5B495558"/>
    <w:rsid w:val="5B4E18CF"/>
    <w:rsid w:val="5B512E60"/>
    <w:rsid w:val="5B5152A0"/>
    <w:rsid w:val="5B57329D"/>
    <w:rsid w:val="5B5A2D8E"/>
    <w:rsid w:val="5B5C4D58"/>
    <w:rsid w:val="5B5E63DA"/>
    <w:rsid w:val="5B6A5190"/>
    <w:rsid w:val="5B6B6D49"/>
    <w:rsid w:val="5B6E6D4C"/>
    <w:rsid w:val="5B793214"/>
    <w:rsid w:val="5B7C71A8"/>
    <w:rsid w:val="5B81031A"/>
    <w:rsid w:val="5B81656C"/>
    <w:rsid w:val="5B841BB9"/>
    <w:rsid w:val="5B8F2A37"/>
    <w:rsid w:val="5B9718EC"/>
    <w:rsid w:val="5B9938B6"/>
    <w:rsid w:val="5B9B13DC"/>
    <w:rsid w:val="5B9B5880"/>
    <w:rsid w:val="5B9E711E"/>
    <w:rsid w:val="5BA364E3"/>
    <w:rsid w:val="5BA65FD3"/>
    <w:rsid w:val="5BA81D4B"/>
    <w:rsid w:val="5BA87F9D"/>
    <w:rsid w:val="5BAA5AC3"/>
    <w:rsid w:val="5BAC183B"/>
    <w:rsid w:val="5BAC35E9"/>
    <w:rsid w:val="5BB73752"/>
    <w:rsid w:val="5BBE156E"/>
    <w:rsid w:val="5BCC5A39"/>
    <w:rsid w:val="5BCD17B1"/>
    <w:rsid w:val="5BCF552A"/>
    <w:rsid w:val="5BD364E5"/>
    <w:rsid w:val="5BD60666"/>
    <w:rsid w:val="5BD62414"/>
    <w:rsid w:val="5BD668B8"/>
    <w:rsid w:val="5BDA3EF8"/>
    <w:rsid w:val="5BDD7C46"/>
    <w:rsid w:val="5BE014E5"/>
    <w:rsid w:val="5BE25396"/>
    <w:rsid w:val="5BE54D4D"/>
    <w:rsid w:val="5BE80399"/>
    <w:rsid w:val="5BEA2363"/>
    <w:rsid w:val="5BEC1C38"/>
    <w:rsid w:val="5BF3746A"/>
    <w:rsid w:val="5BF907F8"/>
    <w:rsid w:val="5C003935"/>
    <w:rsid w:val="5C01479F"/>
    <w:rsid w:val="5C050F4B"/>
    <w:rsid w:val="5C0C052C"/>
    <w:rsid w:val="5C0C22DA"/>
    <w:rsid w:val="5C133668"/>
    <w:rsid w:val="5C1774FA"/>
    <w:rsid w:val="5C1949F7"/>
    <w:rsid w:val="5C294C3A"/>
    <w:rsid w:val="5C2C35E1"/>
    <w:rsid w:val="5C311D40"/>
    <w:rsid w:val="5C34538D"/>
    <w:rsid w:val="5C362A71"/>
    <w:rsid w:val="5C3839BE"/>
    <w:rsid w:val="5C390BF5"/>
    <w:rsid w:val="5C4001D5"/>
    <w:rsid w:val="5C40344E"/>
    <w:rsid w:val="5C4B1054"/>
    <w:rsid w:val="5C545A2F"/>
    <w:rsid w:val="5C5872CD"/>
    <w:rsid w:val="5C643EC4"/>
    <w:rsid w:val="5C693288"/>
    <w:rsid w:val="5C6A2129"/>
    <w:rsid w:val="5C6C2D78"/>
    <w:rsid w:val="5C71213D"/>
    <w:rsid w:val="5C78171D"/>
    <w:rsid w:val="5C7F0D24"/>
    <w:rsid w:val="5C844566"/>
    <w:rsid w:val="5C853E3A"/>
    <w:rsid w:val="5C983A6F"/>
    <w:rsid w:val="5C9B6DBC"/>
    <w:rsid w:val="5C9E3C9E"/>
    <w:rsid w:val="5CA16EC6"/>
    <w:rsid w:val="5CA64BF1"/>
    <w:rsid w:val="5CA6628A"/>
    <w:rsid w:val="5CA73DB1"/>
    <w:rsid w:val="5CA97B29"/>
    <w:rsid w:val="5CAE1DB6"/>
    <w:rsid w:val="5CB0535B"/>
    <w:rsid w:val="5CB07B52"/>
    <w:rsid w:val="5CB32755"/>
    <w:rsid w:val="5CB74E54"/>
    <w:rsid w:val="5CB87D6C"/>
    <w:rsid w:val="5CBD1826"/>
    <w:rsid w:val="5CBE30B7"/>
    <w:rsid w:val="5CBF734C"/>
    <w:rsid w:val="5CC22998"/>
    <w:rsid w:val="5CC62B6E"/>
    <w:rsid w:val="5CCB7A9F"/>
    <w:rsid w:val="5CCC2D25"/>
    <w:rsid w:val="5CCC5BEA"/>
    <w:rsid w:val="5CD526CC"/>
    <w:rsid w:val="5CD97003"/>
    <w:rsid w:val="5CE9072D"/>
    <w:rsid w:val="5CE9261B"/>
    <w:rsid w:val="5CEC5C67"/>
    <w:rsid w:val="5CF35B81"/>
    <w:rsid w:val="5CFA65D6"/>
    <w:rsid w:val="5CFE60C6"/>
    <w:rsid w:val="5CFF32EC"/>
    <w:rsid w:val="5CFF3BED"/>
    <w:rsid w:val="5D024D94"/>
    <w:rsid w:val="5D0B3AA0"/>
    <w:rsid w:val="5D1076B3"/>
    <w:rsid w:val="5D121B72"/>
    <w:rsid w:val="5D131446"/>
    <w:rsid w:val="5D153410"/>
    <w:rsid w:val="5D1B16E2"/>
    <w:rsid w:val="5D1D22C5"/>
    <w:rsid w:val="5D2673CB"/>
    <w:rsid w:val="5D283143"/>
    <w:rsid w:val="5D2D23B6"/>
    <w:rsid w:val="5D2D2508"/>
    <w:rsid w:val="5D303DA6"/>
    <w:rsid w:val="5D323FC2"/>
    <w:rsid w:val="5D3705EE"/>
    <w:rsid w:val="5D3A2E77"/>
    <w:rsid w:val="5D3C274B"/>
    <w:rsid w:val="5D3D64C3"/>
    <w:rsid w:val="5D437F7D"/>
    <w:rsid w:val="5D443CF5"/>
    <w:rsid w:val="5D445AA3"/>
    <w:rsid w:val="5D465377"/>
    <w:rsid w:val="5D4810F0"/>
    <w:rsid w:val="5D4B0BE0"/>
    <w:rsid w:val="5D525B83"/>
    <w:rsid w:val="5D5F1A9B"/>
    <w:rsid w:val="5D663C6C"/>
    <w:rsid w:val="5D6879E4"/>
    <w:rsid w:val="5D6F0D72"/>
    <w:rsid w:val="5D731EE5"/>
    <w:rsid w:val="5D746389"/>
    <w:rsid w:val="5D81181A"/>
    <w:rsid w:val="5D83481E"/>
    <w:rsid w:val="5D881E34"/>
    <w:rsid w:val="5D8A5F57"/>
    <w:rsid w:val="5D8B36D2"/>
    <w:rsid w:val="5D944335"/>
    <w:rsid w:val="5D9500AD"/>
    <w:rsid w:val="5D9562FF"/>
    <w:rsid w:val="5D99194B"/>
    <w:rsid w:val="5D9A3915"/>
    <w:rsid w:val="5D9E51B4"/>
    <w:rsid w:val="5DA84284"/>
    <w:rsid w:val="5DAA1DAA"/>
    <w:rsid w:val="5DAA3B58"/>
    <w:rsid w:val="5DAD3649"/>
    <w:rsid w:val="5DBE5856"/>
    <w:rsid w:val="5DC42740"/>
    <w:rsid w:val="5DCF4315"/>
    <w:rsid w:val="5DD748DD"/>
    <w:rsid w:val="5DDE3802"/>
    <w:rsid w:val="5DE27796"/>
    <w:rsid w:val="5DE67546"/>
    <w:rsid w:val="5DE74DAC"/>
    <w:rsid w:val="5DEB5F1F"/>
    <w:rsid w:val="5DF179D9"/>
    <w:rsid w:val="5DF213F1"/>
    <w:rsid w:val="5DF474C9"/>
    <w:rsid w:val="5DF50B4C"/>
    <w:rsid w:val="5DF71957"/>
    <w:rsid w:val="5DFD637E"/>
    <w:rsid w:val="5E01082C"/>
    <w:rsid w:val="5E084D23"/>
    <w:rsid w:val="5E086AD1"/>
    <w:rsid w:val="5E0A45F7"/>
    <w:rsid w:val="5E0D40E7"/>
    <w:rsid w:val="5E113BD7"/>
    <w:rsid w:val="5E227B93"/>
    <w:rsid w:val="5E27164D"/>
    <w:rsid w:val="5E2C0A11"/>
    <w:rsid w:val="5E31427A"/>
    <w:rsid w:val="5E331DA0"/>
    <w:rsid w:val="5E337FF2"/>
    <w:rsid w:val="5E361890"/>
    <w:rsid w:val="5E371164"/>
    <w:rsid w:val="5E3D49CC"/>
    <w:rsid w:val="5E443FAD"/>
    <w:rsid w:val="5E483371"/>
    <w:rsid w:val="5E4915C3"/>
    <w:rsid w:val="5E5166CA"/>
    <w:rsid w:val="5E543AC4"/>
    <w:rsid w:val="5E565A8E"/>
    <w:rsid w:val="5E5E4766"/>
    <w:rsid w:val="5E602469"/>
    <w:rsid w:val="5E604B5F"/>
    <w:rsid w:val="5E60690D"/>
    <w:rsid w:val="5E766130"/>
    <w:rsid w:val="5E785A05"/>
    <w:rsid w:val="5E79177D"/>
    <w:rsid w:val="5E7919F9"/>
    <w:rsid w:val="5E7B3747"/>
    <w:rsid w:val="5E7D126D"/>
    <w:rsid w:val="5E8425FB"/>
    <w:rsid w:val="5E8545C5"/>
    <w:rsid w:val="5E8720EC"/>
    <w:rsid w:val="5E8E550E"/>
    <w:rsid w:val="5E912F6A"/>
    <w:rsid w:val="5E916AC6"/>
    <w:rsid w:val="5E950C90"/>
    <w:rsid w:val="5E960581"/>
    <w:rsid w:val="5E9865C0"/>
    <w:rsid w:val="5E9F7435"/>
    <w:rsid w:val="5EA04F5B"/>
    <w:rsid w:val="5EA07923"/>
    <w:rsid w:val="5EA22A81"/>
    <w:rsid w:val="5EA24F76"/>
    <w:rsid w:val="5EA507C4"/>
    <w:rsid w:val="5EA73388"/>
    <w:rsid w:val="5EA902B4"/>
    <w:rsid w:val="5EA92062"/>
    <w:rsid w:val="5EAC3900"/>
    <w:rsid w:val="5EAE1F6A"/>
    <w:rsid w:val="5EAE7678"/>
    <w:rsid w:val="5EB50A07"/>
    <w:rsid w:val="5EB629D1"/>
    <w:rsid w:val="5EB72A3D"/>
    <w:rsid w:val="5EBD78BB"/>
    <w:rsid w:val="5EBF1885"/>
    <w:rsid w:val="5EC0115A"/>
    <w:rsid w:val="5EC40C4A"/>
    <w:rsid w:val="5EC46E9C"/>
    <w:rsid w:val="5EC944B2"/>
    <w:rsid w:val="5ECA48B8"/>
    <w:rsid w:val="5ECB5DD6"/>
    <w:rsid w:val="5ECB647C"/>
    <w:rsid w:val="5ECC7AFE"/>
    <w:rsid w:val="5ED13367"/>
    <w:rsid w:val="5ED30E8D"/>
    <w:rsid w:val="5ED327B2"/>
    <w:rsid w:val="5ED54284"/>
    <w:rsid w:val="5ED56562"/>
    <w:rsid w:val="5EDA046D"/>
    <w:rsid w:val="5EDB41E5"/>
    <w:rsid w:val="5EE035AA"/>
    <w:rsid w:val="5EE66E12"/>
    <w:rsid w:val="5EE96902"/>
    <w:rsid w:val="5EEE216B"/>
    <w:rsid w:val="5EF332DD"/>
    <w:rsid w:val="5EF552A7"/>
    <w:rsid w:val="5EF62DCD"/>
    <w:rsid w:val="5EFA0523"/>
    <w:rsid w:val="5F015CCB"/>
    <w:rsid w:val="5F0674B4"/>
    <w:rsid w:val="5F0B6879"/>
    <w:rsid w:val="5F0D3DD3"/>
    <w:rsid w:val="5F0E0117"/>
    <w:rsid w:val="5F0E6369"/>
    <w:rsid w:val="5F100333"/>
    <w:rsid w:val="5F166FCB"/>
    <w:rsid w:val="5F1D035A"/>
    <w:rsid w:val="5F225970"/>
    <w:rsid w:val="5F2416E8"/>
    <w:rsid w:val="5F2C67EF"/>
    <w:rsid w:val="5F2D4A41"/>
    <w:rsid w:val="5F3302E6"/>
    <w:rsid w:val="5F3C2ED6"/>
    <w:rsid w:val="5F4104EC"/>
    <w:rsid w:val="5F41229A"/>
    <w:rsid w:val="5F44309B"/>
    <w:rsid w:val="5F4973A1"/>
    <w:rsid w:val="5F5521EA"/>
    <w:rsid w:val="5F5A15AE"/>
    <w:rsid w:val="5F5E109E"/>
    <w:rsid w:val="5F630463"/>
    <w:rsid w:val="5F6366B5"/>
    <w:rsid w:val="5F661EE6"/>
    <w:rsid w:val="5F6D308F"/>
    <w:rsid w:val="5F6E0BB6"/>
    <w:rsid w:val="5F73441E"/>
    <w:rsid w:val="5F7408C2"/>
    <w:rsid w:val="5F750196"/>
    <w:rsid w:val="5F7A57AC"/>
    <w:rsid w:val="5F824661"/>
    <w:rsid w:val="5F8328B3"/>
    <w:rsid w:val="5F8515AA"/>
    <w:rsid w:val="5F887EC9"/>
    <w:rsid w:val="5F8A6AAD"/>
    <w:rsid w:val="5F8A76C1"/>
    <w:rsid w:val="5F8E1258"/>
    <w:rsid w:val="5F920D48"/>
    <w:rsid w:val="5F945327"/>
    <w:rsid w:val="5F950838"/>
    <w:rsid w:val="5F9745B0"/>
    <w:rsid w:val="5FA00A13"/>
    <w:rsid w:val="5FAD5F72"/>
    <w:rsid w:val="5FB54A36"/>
    <w:rsid w:val="5FB707AE"/>
    <w:rsid w:val="5FC86518"/>
    <w:rsid w:val="5FCB6008"/>
    <w:rsid w:val="5FCF3D4A"/>
    <w:rsid w:val="5FD01870"/>
    <w:rsid w:val="5FD0361E"/>
    <w:rsid w:val="5FD255E8"/>
    <w:rsid w:val="5FD90725"/>
    <w:rsid w:val="5FDA449D"/>
    <w:rsid w:val="5FDC6467"/>
    <w:rsid w:val="5FDD48ED"/>
    <w:rsid w:val="5FDE3F8D"/>
    <w:rsid w:val="5FDF3861"/>
    <w:rsid w:val="5FE07D05"/>
    <w:rsid w:val="5FE231A1"/>
    <w:rsid w:val="5FF27A39"/>
    <w:rsid w:val="5FF732A1"/>
    <w:rsid w:val="5FFB68ED"/>
    <w:rsid w:val="5FFC4413"/>
    <w:rsid w:val="600357A2"/>
    <w:rsid w:val="600532C8"/>
    <w:rsid w:val="60076625"/>
    <w:rsid w:val="60234096"/>
    <w:rsid w:val="60261490"/>
    <w:rsid w:val="602B6AA7"/>
    <w:rsid w:val="603356F8"/>
    <w:rsid w:val="60343BAD"/>
    <w:rsid w:val="603911C4"/>
    <w:rsid w:val="603B13E0"/>
    <w:rsid w:val="603B4F3C"/>
    <w:rsid w:val="603C295B"/>
    <w:rsid w:val="603D6F06"/>
    <w:rsid w:val="604007A4"/>
    <w:rsid w:val="6042276E"/>
    <w:rsid w:val="6042451C"/>
    <w:rsid w:val="6045400C"/>
    <w:rsid w:val="604B2AAF"/>
    <w:rsid w:val="605649AE"/>
    <w:rsid w:val="6057789C"/>
    <w:rsid w:val="60593614"/>
    <w:rsid w:val="605B55DE"/>
    <w:rsid w:val="606B6E69"/>
    <w:rsid w:val="606D5311"/>
    <w:rsid w:val="606D70BF"/>
    <w:rsid w:val="606F4BE5"/>
    <w:rsid w:val="607D5554"/>
    <w:rsid w:val="608A1A1F"/>
    <w:rsid w:val="608E137D"/>
    <w:rsid w:val="608E7AD0"/>
    <w:rsid w:val="60911000"/>
    <w:rsid w:val="60983A85"/>
    <w:rsid w:val="60AF1ED3"/>
    <w:rsid w:val="60B82A30"/>
    <w:rsid w:val="60C018E5"/>
    <w:rsid w:val="60C51D73"/>
    <w:rsid w:val="60C5514D"/>
    <w:rsid w:val="60CA0886"/>
    <w:rsid w:val="60CE5DB0"/>
    <w:rsid w:val="60D64C64"/>
    <w:rsid w:val="60E2185B"/>
    <w:rsid w:val="60E3072E"/>
    <w:rsid w:val="60E47381"/>
    <w:rsid w:val="60E6759D"/>
    <w:rsid w:val="60E76E71"/>
    <w:rsid w:val="60EA0710"/>
    <w:rsid w:val="60EC26DA"/>
    <w:rsid w:val="60F021CA"/>
    <w:rsid w:val="60F11A9E"/>
    <w:rsid w:val="60F31CBA"/>
    <w:rsid w:val="60F670B5"/>
    <w:rsid w:val="60F72902"/>
    <w:rsid w:val="60FB0B6F"/>
    <w:rsid w:val="60FF7F49"/>
    <w:rsid w:val="6105554A"/>
    <w:rsid w:val="6106379C"/>
    <w:rsid w:val="61077514"/>
    <w:rsid w:val="61113EEE"/>
    <w:rsid w:val="61176BE7"/>
    <w:rsid w:val="611B6B1B"/>
    <w:rsid w:val="61243C22"/>
    <w:rsid w:val="61271964"/>
    <w:rsid w:val="613100ED"/>
    <w:rsid w:val="6131633F"/>
    <w:rsid w:val="61377DF9"/>
    <w:rsid w:val="6138147B"/>
    <w:rsid w:val="613A1697"/>
    <w:rsid w:val="613B6716"/>
    <w:rsid w:val="614212FD"/>
    <w:rsid w:val="61462D9B"/>
    <w:rsid w:val="61500EBB"/>
    <w:rsid w:val="61502C69"/>
    <w:rsid w:val="615A3AE7"/>
    <w:rsid w:val="615B1D05"/>
    <w:rsid w:val="615D5386"/>
    <w:rsid w:val="615E35D8"/>
    <w:rsid w:val="6162474A"/>
    <w:rsid w:val="61646714"/>
    <w:rsid w:val="61671D60"/>
    <w:rsid w:val="61785D1C"/>
    <w:rsid w:val="617C1CB0"/>
    <w:rsid w:val="617C580C"/>
    <w:rsid w:val="61856F4B"/>
    <w:rsid w:val="6186382E"/>
    <w:rsid w:val="6186668A"/>
    <w:rsid w:val="61897F29"/>
    <w:rsid w:val="61923281"/>
    <w:rsid w:val="6197187E"/>
    <w:rsid w:val="61A62CB1"/>
    <w:rsid w:val="61A909FB"/>
    <w:rsid w:val="61AB4343"/>
    <w:rsid w:val="61AF3E33"/>
    <w:rsid w:val="61B2122D"/>
    <w:rsid w:val="61B74A96"/>
    <w:rsid w:val="61B76844"/>
    <w:rsid w:val="61BF7DEE"/>
    <w:rsid w:val="61CE7F53"/>
    <w:rsid w:val="61CF0031"/>
    <w:rsid w:val="61E34090"/>
    <w:rsid w:val="61E37639"/>
    <w:rsid w:val="61E57855"/>
    <w:rsid w:val="61E6342A"/>
    <w:rsid w:val="61E67129"/>
    <w:rsid w:val="61EF1B99"/>
    <w:rsid w:val="61F2259B"/>
    <w:rsid w:val="61F335F4"/>
    <w:rsid w:val="61F562F2"/>
    <w:rsid w:val="61F5736C"/>
    <w:rsid w:val="61FA2BD4"/>
    <w:rsid w:val="61FA4982"/>
    <w:rsid w:val="61FE26C5"/>
    <w:rsid w:val="62015D11"/>
    <w:rsid w:val="620677CB"/>
    <w:rsid w:val="620B4882"/>
    <w:rsid w:val="620D33E1"/>
    <w:rsid w:val="620F6680"/>
    <w:rsid w:val="62132C84"/>
    <w:rsid w:val="6223037D"/>
    <w:rsid w:val="62255EA3"/>
    <w:rsid w:val="622639C9"/>
    <w:rsid w:val="62265778"/>
    <w:rsid w:val="622B0E9F"/>
    <w:rsid w:val="622D2FAA"/>
    <w:rsid w:val="62305DCE"/>
    <w:rsid w:val="62314848"/>
    <w:rsid w:val="623460E6"/>
    <w:rsid w:val="623B56C7"/>
    <w:rsid w:val="624058E7"/>
    <w:rsid w:val="624327CD"/>
    <w:rsid w:val="62595642"/>
    <w:rsid w:val="62595B4D"/>
    <w:rsid w:val="625B3673"/>
    <w:rsid w:val="625B7B17"/>
    <w:rsid w:val="625D4F3E"/>
    <w:rsid w:val="626369CC"/>
    <w:rsid w:val="6264142C"/>
    <w:rsid w:val="626562A0"/>
    <w:rsid w:val="6267026A"/>
    <w:rsid w:val="626B771F"/>
    <w:rsid w:val="626F711E"/>
    <w:rsid w:val="627666FF"/>
    <w:rsid w:val="62774B4D"/>
    <w:rsid w:val="62816E52"/>
    <w:rsid w:val="628726BA"/>
    <w:rsid w:val="628C6A3E"/>
    <w:rsid w:val="628C7CD0"/>
    <w:rsid w:val="62953C49"/>
    <w:rsid w:val="629616EA"/>
    <w:rsid w:val="6299063F"/>
    <w:rsid w:val="629923ED"/>
    <w:rsid w:val="629D3C8C"/>
    <w:rsid w:val="629F08EF"/>
    <w:rsid w:val="62A73AFF"/>
    <w:rsid w:val="62AA2731"/>
    <w:rsid w:val="62AC1CC4"/>
    <w:rsid w:val="62B07A33"/>
    <w:rsid w:val="62B57844"/>
    <w:rsid w:val="62B62F9F"/>
    <w:rsid w:val="62B86D17"/>
    <w:rsid w:val="62BC7E8A"/>
    <w:rsid w:val="62BF00A6"/>
    <w:rsid w:val="62BF61C6"/>
    <w:rsid w:val="62C90F25"/>
    <w:rsid w:val="62CC631F"/>
    <w:rsid w:val="62CE653B"/>
    <w:rsid w:val="62D376AD"/>
    <w:rsid w:val="62D84CC4"/>
    <w:rsid w:val="62DA4EE0"/>
    <w:rsid w:val="62DF24F6"/>
    <w:rsid w:val="62E01DCA"/>
    <w:rsid w:val="62E775FD"/>
    <w:rsid w:val="62EA5C02"/>
    <w:rsid w:val="62EE2739"/>
    <w:rsid w:val="62F67840"/>
    <w:rsid w:val="62F87114"/>
    <w:rsid w:val="62FF66F4"/>
    <w:rsid w:val="630006BE"/>
    <w:rsid w:val="6300421A"/>
    <w:rsid w:val="630930CF"/>
    <w:rsid w:val="63097573"/>
    <w:rsid w:val="630A6E47"/>
    <w:rsid w:val="63100901"/>
    <w:rsid w:val="63200C00"/>
    <w:rsid w:val="632048BD"/>
    <w:rsid w:val="63223418"/>
    <w:rsid w:val="63267BA3"/>
    <w:rsid w:val="632919C3"/>
    <w:rsid w:val="632E2B36"/>
    <w:rsid w:val="63304B00"/>
    <w:rsid w:val="63316ACA"/>
    <w:rsid w:val="63365E8E"/>
    <w:rsid w:val="63367C3C"/>
    <w:rsid w:val="633F4D43"/>
    <w:rsid w:val="634467FD"/>
    <w:rsid w:val="634D18BA"/>
    <w:rsid w:val="63506F50"/>
    <w:rsid w:val="63554566"/>
    <w:rsid w:val="63574F6D"/>
    <w:rsid w:val="636447A9"/>
    <w:rsid w:val="636B52CA"/>
    <w:rsid w:val="637846F9"/>
    <w:rsid w:val="637D1D0F"/>
    <w:rsid w:val="637D586B"/>
    <w:rsid w:val="638210D3"/>
    <w:rsid w:val="6384309D"/>
    <w:rsid w:val="638B61DA"/>
    <w:rsid w:val="638E5CCA"/>
    <w:rsid w:val="63901A42"/>
    <w:rsid w:val="63911317"/>
    <w:rsid w:val="639260C7"/>
    <w:rsid w:val="639808F7"/>
    <w:rsid w:val="63984453"/>
    <w:rsid w:val="639D5F0D"/>
    <w:rsid w:val="639F57E1"/>
    <w:rsid w:val="63A13CA1"/>
    <w:rsid w:val="63A23524"/>
    <w:rsid w:val="63A66B70"/>
    <w:rsid w:val="63A948B2"/>
    <w:rsid w:val="63B03E93"/>
    <w:rsid w:val="63B63177"/>
    <w:rsid w:val="63B84AF5"/>
    <w:rsid w:val="63BF5E84"/>
    <w:rsid w:val="63C27722"/>
    <w:rsid w:val="63C35952"/>
    <w:rsid w:val="63C60FC0"/>
    <w:rsid w:val="63C90AB0"/>
    <w:rsid w:val="63CB4828"/>
    <w:rsid w:val="63D23E09"/>
    <w:rsid w:val="63D27965"/>
    <w:rsid w:val="63D414A8"/>
    <w:rsid w:val="63D538F9"/>
    <w:rsid w:val="63DA2CBD"/>
    <w:rsid w:val="63DE27AE"/>
    <w:rsid w:val="63E1404C"/>
    <w:rsid w:val="63E5684F"/>
    <w:rsid w:val="63E8362C"/>
    <w:rsid w:val="63EB4ECB"/>
    <w:rsid w:val="63ED29F1"/>
    <w:rsid w:val="63FE2FD4"/>
    <w:rsid w:val="64020B82"/>
    <w:rsid w:val="64047D3A"/>
    <w:rsid w:val="640D6BEF"/>
    <w:rsid w:val="641461CF"/>
    <w:rsid w:val="64175CC0"/>
    <w:rsid w:val="64183E80"/>
    <w:rsid w:val="641A1124"/>
    <w:rsid w:val="641B57B0"/>
    <w:rsid w:val="64202DC6"/>
    <w:rsid w:val="64267CB1"/>
    <w:rsid w:val="642A4078"/>
    <w:rsid w:val="643028DD"/>
    <w:rsid w:val="64346872"/>
    <w:rsid w:val="64357EF4"/>
    <w:rsid w:val="643E0066"/>
    <w:rsid w:val="643E4FFA"/>
    <w:rsid w:val="64406FC4"/>
    <w:rsid w:val="6445282D"/>
    <w:rsid w:val="64460353"/>
    <w:rsid w:val="644F0FB6"/>
    <w:rsid w:val="6454481E"/>
    <w:rsid w:val="645A5BAC"/>
    <w:rsid w:val="6468651B"/>
    <w:rsid w:val="646F1658"/>
    <w:rsid w:val="6470717E"/>
    <w:rsid w:val="647732ED"/>
    <w:rsid w:val="6477516F"/>
    <w:rsid w:val="6478160F"/>
    <w:rsid w:val="64790728"/>
    <w:rsid w:val="647C3D75"/>
    <w:rsid w:val="6482427B"/>
    <w:rsid w:val="64872E45"/>
    <w:rsid w:val="64874BF3"/>
    <w:rsid w:val="64882719"/>
    <w:rsid w:val="648953C9"/>
    <w:rsid w:val="648F3AA8"/>
    <w:rsid w:val="64990483"/>
    <w:rsid w:val="649B41FB"/>
    <w:rsid w:val="64A13455"/>
    <w:rsid w:val="64A335B4"/>
    <w:rsid w:val="64A357A5"/>
    <w:rsid w:val="64AD3F2E"/>
    <w:rsid w:val="64AF7CA6"/>
    <w:rsid w:val="64BE0410"/>
    <w:rsid w:val="64C2170E"/>
    <w:rsid w:val="64C32220"/>
    <w:rsid w:val="64C34615"/>
    <w:rsid w:val="64C5571C"/>
    <w:rsid w:val="64CD637E"/>
    <w:rsid w:val="64CD6821"/>
    <w:rsid w:val="64CE1249"/>
    <w:rsid w:val="64CF20F6"/>
    <w:rsid w:val="64D06F3E"/>
    <w:rsid w:val="64D37E39"/>
    <w:rsid w:val="64D92F75"/>
    <w:rsid w:val="64EC051E"/>
    <w:rsid w:val="64EF09EB"/>
    <w:rsid w:val="64F41B5D"/>
    <w:rsid w:val="64F8789F"/>
    <w:rsid w:val="64F953C5"/>
    <w:rsid w:val="650A67C2"/>
    <w:rsid w:val="650C10E2"/>
    <w:rsid w:val="650E0E71"/>
    <w:rsid w:val="651025ED"/>
    <w:rsid w:val="65136487"/>
    <w:rsid w:val="65143FAD"/>
    <w:rsid w:val="65167D25"/>
    <w:rsid w:val="65183A9D"/>
    <w:rsid w:val="651915C4"/>
    <w:rsid w:val="65297A59"/>
    <w:rsid w:val="652C7549"/>
    <w:rsid w:val="653603C7"/>
    <w:rsid w:val="65363F24"/>
    <w:rsid w:val="653D1756"/>
    <w:rsid w:val="65426D6C"/>
    <w:rsid w:val="654607AD"/>
    <w:rsid w:val="654725D5"/>
    <w:rsid w:val="65474383"/>
    <w:rsid w:val="654839FF"/>
    <w:rsid w:val="654F11A7"/>
    <w:rsid w:val="654F4FE5"/>
    <w:rsid w:val="655A40B6"/>
    <w:rsid w:val="65644F35"/>
    <w:rsid w:val="65654809"/>
    <w:rsid w:val="65660CAD"/>
    <w:rsid w:val="656F789F"/>
    <w:rsid w:val="657824FA"/>
    <w:rsid w:val="65817895"/>
    <w:rsid w:val="65817AAD"/>
    <w:rsid w:val="65826BF3"/>
    <w:rsid w:val="65847385"/>
    <w:rsid w:val="658B24C1"/>
    <w:rsid w:val="658E1FB1"/>
    <w:rsid w:val="65960E66"/>
    <w:rsid w:val="659770B8"/>
    <w:rsid w:val="659A1428"/>
    <w:rsid w:val="659A6305"/>
    <w:rsid w:val="659A6BA8"/>
    <w:rsid w:val="65A25A5D"/>
    <w:rsid w:val="65A801B0"/>
    <w:rsid w:val="65AB2B63"/>
    <w:rsid w:val="65AC068A"/>
    <w:rsid w:val="65AC2438"/>
    <w:rsid w:val="65AE61B0"/>
    <w:rsid w:val="65B67155"/>
    <w:rsid w:val="65B71508"/>
    <w:rsid w:val="65BA2DA7"/>
    <w:rsid w:val="65BA4B55"/>
    <w:rsid w:val="65C028F8"/>
    <w:rsid w:val="65C21C5B"/>
    <w:rsid w:val="65C37EAD"/>
    <w:rsid w:val="65C43C25"/>
    <w:rsid w:val="65CC4888"/>
    <w:rsid w:val="65DF6369"/>
    <w:rsid w:val="65E63B9C"/>
    <w:rsid w:val="65E971E8"/>
    <w:rsid w:val="65EB3A59"/>
    <w:rsid w:val="65EE0CA2"/>
    <w:rsid w:val="65F55B8D"/>
    <w:rsid w:val="65F938CF"/>
    <w:rsid w:val="65FC2CD6"/>
    <w:rsid w:val="66067D9A"/>
    <w:rsid w:val="660B3602"/>
    <w:rsid w:val="660B3A10"/>
    <w:rsid w:val="661464D2"/>
    <w:rsid w:val="66154481"/>
    <w:rsid w:val="661C6D07"/>
    <w:rsid w:val="661F70AE"/>
    <w:rsid w:val="662326FA"/>
    <w:rsid w:val="66236B9E"/>
    <w:rsid w:val="662B7800"/>
    <w:rsid w:val="662D3578"/>
    <w:rsid w:val="662F5543"/>
    <w:rsid w:val="663469B8"/>
    <w:rsid w:val="663517A8"/>
    <w:rsid w:val="66391F1D"/>
    <w:rsid w:val="663E5786"/>
    <w:rsid w:val="664663E8"/>
    <w:rsid w:val="664F47B8"/>
    <w:rsid w:val="66527D73"/>
    <w:rsid w:val="665E681F"/>
    <w:rsid w:val="66664CDC"/>
    <w:rsid w:val="66680A54"/>
    <w:rsid w:val="66682803"/>
    <w:rsid w:val="666920D7"/>
    <w:rsid w:val="666E3CFC"/>
    <w:rsid w:val="66707909"/>
    <w:rsid w:val="66772A46"/>
    <w:rsid w:val="667F18FA"/>
    <w:rsid w:val="66887883"/>
    <w:rsid w:val="668A2779"/>
    <w:rsid w:val="668A4527"/>
    <w:rsid w:val="668B64F1"/>
    <w:rsid w:val="66925AD1"/>
    <w:rsid w:val="6692787F"/>
    <w:rsid w:val="669929BC"/>
    <w:rsid w:val="669B4986"/>
    <w:rsid w:val="66AB26EF"/>
    <w:rsid w:val="66AF3F8D"/>
    <w:rsid w:val="66B21CD0"/>
    <w:rsid w:val="66B74D94"/>
    <w:rsid w:val="66B75538"/>
    <w:rsid w:val="66BA369C"/>
    <w:rsid w:val="66BB5B05"/>
    <w:rsid w:val="66BC2B4E"/>
    <w:rsid w:val="66BE68C6"/>
    <w:rsid w:val="66C101EF"/>
    <w:rsid w:val="66C11F13"/>
    <w:rsid w:val="66CA0DC7"/>
    <w:rsid w:val="66CF1E96"/>
    <w:rsid w:val="66D25ECE"/>
    <w:rsid w:val="66D96AE7"/>
    <w:rsid w:val="66DB2FD4"/>
    <w:rsid w:val="66DE0D17"/>
    <w:rsid w:val="66E005EB"/>
    <w:rsid w:val="66E300DB"/>
    <w:rsid w:val="66E77BCB"/>
    <w:rsid w:val="66EF082E"/>
    <w:rsid w:val="66F145A6"/>
    <w:rsid w:val="66F2031E"/>
    <w:rsid w:val="66F26570"/>
    <w:rsid w:val="66F70DFE"/>
    <w:rsid w:val="66F9345B"/>
    <w:rsid w:val="6707490A"/>
    <w:rsid w:val="67095D94"/>
    <w:rsid w:val="670C45C1"/>
    <w:rsid w:val="67140294"/>
    <w:rsid w:val="67144738"/>
    <w:rsid w:val="67185FD7"/>
    <w:rsid w:val="67191E9B"/>
    <w:rsid w:val="6727446C"/>
    <w:rsid w:val="6730535B"/>
    <w:rsid w:val="673B77BA"/>
    <w:rsid w:val="673E3563"/>
    <w:rsid w:val="6740552D"/>
    <w:rsid w:val="674768BC"/>
    <w:rsid w:val="674D37A6"/>
    <w:rsid w:val="674E7C4A"/>
    <w:rsid w:val="67550FD9"/>
    <w:rsid w:val="676C2A97"/>
    <w:rsid w:val="676C5425"/>
    <w:rsid w:val="676E209B"/>
    <w:rsid w:val="67786A75"/>
    <w:rsid w:val="677D5E3A"/>
    <w:rsid w:val="67825B46"/>
    <w:rsid w:val="6787315C"/>
    <w:rsid w:val="678A09AE"/>
    <w:rsid w:val="678B7CBA"/>
    <w:rsid w:val="678F3DBF"/>
    <w:rsid w:val="67954B8D"/>
    <w:rsid w:val="67955879"/>
    <w:rsid w:val="6796339F"/>
    <w:rsid w:val="679B09B6"/>
    <w:rsid w:val="679D028A"/>
    <w:rsid w:val="679D472E"/>
    <w:rsid w:val="67A755AC"/>
    <w:rsid w:val="67B51A77"/>
    <w:rsid w:val="67C1041C"/>
    <w:rsid w:val="67C717AB"/>
    <w:rsid w:val="67C779FD"/>
    <w:rsid w:val="67C972D1"/>
    <w:rsid w:val="67CD5013"/>
    <w:rsid w:val="67D5211A"/>
    <w:rsid w:val="67D55C76"/>
    <w:rsid w:val="67D6379C"/>
    <w:rsid w:val="67DA328C"/>
    <w:rsid w:val="67DF6AF4"/>
    <w:rsid w:val="67E260DB"/>
    <w:rsid w:val="67E4410B"/>
    <w:rsid w:val="67EB5499"/>
    <w:rsid w:val="67EE31DB"/>
    <w:rsid w:val="67F02AB0"/>
    <w:rsid w:val="67F26828"/>
    <w:rsid w:val="67F85C34"/>
    <w:rsid w:val="67F97372"/>
    <w:rsid w:val="67FF0F45"/>
    <w:rsid w:val="68040309"/>
    <w:rsid w:val="68060525"/>
    <w:rsid w:val="68063598"/>
    <w:rsid w:val="6809591F"/>
    <w:rsid w:val="680B1697"/>
    <w:rsid w:val="680B5B3B"/>
    <w:rsid w:val="680D3662"/>
    <w:rsid w:val="680E73DA"/>
    <w:rsid w:val="68111A8C"/>
    <w:rsid w:val="68120C78"/>
    <w:rsid w:val="681349F0"/>
    <w:rsid w:val="6813679E"/>
    <w:rsid w:val="6817276E"/>
    <w:rsid w:val="681C1AF7"/>
    <w:rsid w:val="681D13CB"/>
    <w:rsid w:val="681F5143"/>
    <w:rsid w:val="682137F6"/>
    <w:rsid w:val="6823056F"/>
    <w:rsid w:val="68295FC1"/>
    <w:rsid w:val="683C5EDD"/>
    <w:rsid w:val="683E7CBF"/>
    <w:rsid w:val="6841155D"/>
    <w:rsid w:val="68420E31"/>
    <w:rsid w:val="6844104D"/>
    <w:rsid w:val="68442DFB"/>
    <w:rsid w:val="68460921"/>
    <w:rsid w:val="68476448"/>
    <w:rsid w:val="684C40FA"/>
    <w:rsid w:val="684E77D6"/>
    <w:rsid w:val="68541290"/>
    <w:rsid w:val="68570D81"/>
    <w:rsid w:val="685F19E3"/>
    <w:rsid w:val="685F3791"/>
    <w:rsid w:val="686B482C"/>
    <w:rsid w:val="686D2352"/>
    <w:rsid w:val="686F60CA"/>
    <w:rsid w:val="68776D2D"/>
    <w:rsid w:val="687E455F"/>
    <w:rsid w:val="68802085"/>
    <w:rsid w:val="68815DFE"/>
    <w:rsid w:val="688D02FE"/>
    <w:rsid w:val="689B46AF"/>
    <w:rsid w:val="689E69AF"/>
    <w:rsid w:val="68A044D6"/>
    <w:rsid w:val="68A11FFC"/>
    <w:rsid w:val="68A65864"/>
    <w:rsid w:val="68A8338A"/>
    <w:rsid w:val="68AD274F"/>
    <w:rsid w:val="68AE10C3"/>
    <w:rsid w:val="68B47F81"/>
    <w:rsid w:val="68C1269E"/>
    <w:rsid w:val="68C47A98"/>
    <w:rsid w:val="68C7438B"/>
    <w:rsid w:val="68CF45AF"/>
    <w:rsid w:val="68DE0919"/>
    <w:rsid w:val="68DE4FFE"/>
    <w:rsid w:val="68E80E73"/>
    <w:rsid w:val="68EA5751"/>
    <w:rsid w:val="68EA74FF"/>
    <w:rsid w:val="68EC3F23"/>
    <w:rsid w:val="68F24605"/>
    <w:rsid w:val="68F44821"/>
    <w:rsid w:val="68F640F6"/>
    <w:rsid w:val="68FB5BB0"/>
    <w:rsid w:val="69006D22"/>
    <w:rsid w:val="69026F3E"/>
    <w:rsid w:val="690D143F"/>
    <w:rsid w:val="690E58E3"/>
    <w:rsid w:val="69146C72"/>
    <w:rsid w:val="6919323E"/>
    <w:rsid w:val="69216C99"/>
    <w:rsid w:val="69224EEB"/>
    <w:rsid w:val="69252C2D"/>
    <w:rsid w:val="69280027"/>
    <w:rsid w:val="69313380"/>
    <w:rsid w:val="69337755"/>
    <w:rsid w:val="693B41FE"/>
    <w:rsid w:val="693B4DCA"/>
    <w:rsid w:val="693B5FAC"/>
    <w:rsid w:val="693B7D5A"/>
    <w:rsid w:val="693C3AD3"/>
    <w:rsid w:val="693E784B"/>
    <w:rsid w:val="6940715E"/>
    <w:rsid w:val="69450BA7"/>
    <w:rsid w:val="69474951"/>
    <w:rsid w:val="694766FF"/>
    <w:rsid w:val="69482477"/>
    <w:rsid w:val="694A2693"/>
    <w:rsid w:val="694C4D3B"/>
    <w:rsid w:val="694E3F32"/>
    <w:rsid w:val="69540E1C"/>
    <w:rsid w:val="695452C0"/>
    <w:rsid w:val="6954706E"/>
    <w:rsid w:val="69584DB0"/>
    <w:rsid w:val="695F613F"/>
    <w:rsid w:val="696E0130"/>
    <w:rsid w:val="69715E72"/>
    <w:rsid w:val="697414BE"/>
    <w:rsid w:val="69756874"/>
    <w:rsid w:val="697E40EB"/>
    <w:rsid w:val="69872FA0"/>
    <w:rsid w:val="698C05B6"/>
    <w:rsid w:val="698D0391"/>
    <w:rsid w:val="69913E1E"/>
    <w:rsid w:val="69961435"/>
    <w:rsid w:val="69962AAD"/>
    <w:rsid w:val="699B4C9D"/>
    <w:rsid w:val="69A04061"/>
    <w:rsid w:val="69A71894"/>
    <w:rsid w:val="69A753F0"/>
    <w:rsid w:val="69AB1384"/>
    <w:rsid w:val="69AF24F6"/>
    <w:rsid w:val="69B11CDD"/>
    <w:rsid w:val="69B17B7A"/>
    <w:rsid w:val="69B5322F"/>
    <w:rsid w:val="69B875FD"/>
    <w:rsid w:val="69BD10B7"/>
    <w:rsid w:val="69C97A5C"/>
    <w:rsid w:val="69CC4E56"/>
    <w:rsid w:val="69D56401"/>
    <w:rsid w:val="69EB79D2"/>
    <w:rsid w:val="69EC5ECF"/>
    <w:rsid w:val="69F543AD"/>
    <w:rsid w:val="69F72FE2"/>
    <w:rsid w:val="69FF347E"/>
    <w:rsid w:val="6A0E1913"/>
    <w:rsid w:val="6A0E36C1"/>
    <w:rsid w:val="6A102F95"/>
    <w:rsid w:val="6A1046F0"/>
    <w:rsid w:val="6A1567FD"/>
    <w:rsid w:val="6A18009C"/>
    <w:rsid w:val="6A1A3E14"/>
    <w:rsid w:val="6A220F1A"/>
    <w:rsid w:val="6A2627B9"/>
    <w:rsid w:val="6A2B4273"/>
    <w:rsid w:val="6A2C1D99"/>
    <w:rsid w:val="6A2D7FEB"/>
    <w:rsid w:val="6A3179FB"/>
    <w:rsid w:val="6A334ED5"/>
    <w:rsid w:val="6A36023E"/>
    <w:rsid w:val="6A3A2708"/>
    <w:rsid w:val="6A3C022E"/>
    <w:rsid w:val="6A3C1716"/>
    <w:rsid w:val="6A3C6480"/>
    <w:rsid w:val="6A3F387A"/>
    <w:rsid w:val="6A3F7D1E"/>
    <w:rsid w:val="6A41142C"/>
    <w:rsid w:val="6A4E3ABD"/>
    <w:rsid w:val="6A507835"/>
    <w:rsid w:val="6A58493C"/>
    <w:rsid w:val="6A5B43E6"/>
    <w:rsid w:val="6A5E1D79"/>
    <w:rsid w:val="6A5F3F1C"/>
    <w:rsid w:val="6A611A43"/>
    <w:rsid w:val="6A615EE7"/>
    <w:rsid w:val="6A664892"/>
    <w:rsid w:val="6A696B49"/>
    <w:rsid w:val="6A6B466F"/>
    <w:rsid w:val="6A707ED8"/>
    <w:rsid w:val="6A731776"/>
    <w:rsid w:val="6A753740"/>
    <w:rsid w:val="6A885221"/>
    <w:rsid w:val="6A8A03E4"/>
    <w:rsid w:val="6A8B2F63"/>
    <w:rsid w:val="6A8B3D7E"/>
    <w:rsid w:val="6A8D2838"/>
    <w:rsid w:val="6A8D6CDC"/>
    <w:rsid w:val="6A8E65B0"/>
    <w:rsid w:val="6A9242F2"/>
    <w:rsid w:val="6A9811DC"/>
    <w:rsid w:val="6A995DBF"/>
    <w:rsid w:val="6A9B2132"/>
    <w:rsid w:val="6A9C6F1F"/>
    <w:rsid w:val="6A9E4A45"/>
    <w:rsid w:val="6AA67D9D"/>
    <w:rsid w:val="6AAD2EDA"/>
    <w:rsid w:val="6AB04778"/>
    <w:rsid w:val="6AB32F8A"/>
    <w:rsid w:val="6AB57FE0"/>
    <w:rsid w:val="6AB9362D"/>
    <w:rsid w:val="6ABC136F"/>
    <w:rsid w:val="6AC124E1"/>
    <w:rsid w:val="6AC41FD2"/>
    <w:rsid w:val="6AC67AF8"/>
    <w:rsid w:val="6ACA3A8C"/>
    <w:rsid w:val="6ACD70D8"/>
    <w:rsid w:val="6AD22940"/>
    <w:rsid w:val="6AD40467"/>
    <w:rsid w:val="6AD42215"/>
    <w:rsid w:val="6AD541DF"/>
    <w:rsid w:val="6AD62431"/>
    <w:rsid w:val="6AD9782B"/>
    <w:rsid w:val="6ADB5BEC"/>
    <w:rsid w:val="6ADE12E5"/>
    <w:rsid w:val="6AEF4E8F"/>
    <w:rsid w:val="6AF136B5"/>
    <w:rsid w:val="6AF6662F"/>
    <w:rsid w:val="6AF9611F"/>
    <w:rsid w:val="6AFE3735"/>
    <w:rsid w:val="6AFF71B1"/>
    <w:rsid w:val="6B0A20DA"/>
    <w:rsid w:val="6B0A3E88"/>
    <w:rsid w:val="6B113469"/>
    <w:rsid w:val="6B126DCB"/>
    <w:rsid w:val="6B15282D"/>
    <w:rsid w:val="6B1B6095"/>
    <w:rsid w:val="6B1B7E43"/>
    <w:rsid w:val="6B1C1E0E"/>
    <w:rsid w:val="6B2807B2"/>
    <w:rsid w:val="6B2A277C"/>
    <w:rsid w:val="6B2B3DFF"/>
    <w:rsid w:val="6B2C02A3"/>
    <w:rsid w:val="6B32184E"/>
    <w:rsid w:val="6B32518D"/>
    <w:rsid w:val="6B3453A9"/>
    <w:rsid w:val="6B361121"/>
    <w:rsid w:val="6B376C47"/>
    <w:rsid w:val="6B3B6738"/>
    <w:rsid w:val="6B3D24B0"/>
    <w:rsid w:val="6B3D6961"/>
    <w:rsid w:val="6B403D4E"/>
    <w:rsid w:val="6B4B624F"/>
    <w:rsid w:val="6B4D0219"/>
    <w:rsid w:val="6B52582F"/>
    <w:rsid w:val="6B5275DD"/>
    <w:rsid w:val="6B567508"/>
    <w:rsid w:val="6B64707D"/>
    <w:rsid w:val="6B6537B4"/>
    <w:rsid w:val="6B657311"/>
    <w:rsid w:val="6B673089"/>
    <w:rsid w:val="6B6A0DCB"/>
    <w:rsid w:val="6B6A2B79"/>
    <w:rsid w:val="6B6C68F1"/>
    <w:rsid w:val="6B7439F8"/>
    <w:rsid w:val="6B79100E"/>
    <w:rsid w:val="6B7D0AFE"/>
    <w:rsid w:val="6B80239C"/>
    <w:rsid w:val="6B826114"/>
    <w:rsid w:val="6B8346DD"/>
    <w:rsid w:val="6B8579B3"/>
    <w:rsid w:val="6B87197D"/>
    <w:rsid w:val="6B87372B"/>
    <w:rsid w:val="6B8D6867"/>
    <w:rsid w:val="6B900B29"/>
    <w:rsid w:val="6B916358"/>
    <w:rsid w:val="6BA77929"/>
    <w:rsid w:val="6BA81D35"/>
    <w:rsid w:val="6BA8793F"/>
    <w:rsid w:val="6BA918F3"/>
    <w:rsid w:val="6BAA7419"/>
    <w:rsid w:val="6BAE0CB8"/>
    <w:rsid w:val="6BB04B7E"/>
    <w:rsid w:val="6BB107A8"/>
    <w:rsid w:val="6BB40298"/>
    <w:rsid w:val="6BB42046"/>
    <w:rsid w:val="6BB47F24"/>
    <w:rsid w:val="6BB64010"/>
    <w:rsid w:val="6BB65DBE"/>
    <w:rsid w:val="6BB838E4"/>
    <w:rsid w:val="6BC25ACB"/>
    <w:rsid w:val="6BC77FCB"/>
    <w:rsid w:val="6BD050D2"/>
    <w:rsid w:val="6BD12BF8"/>
    <w:rsid w:val="6BD149A6"/>
    <w:rsid w:val="6BD44496"/>
    <w:rsid w:val="6BDB75D3"/>
    <w:rsid w:val="6BDC5218"/>
    <w:rsid w:val="6BE04BE9"/>
    <w:rsid w:val="6BE20961"/>
    <w:rsid w:val="6BE446D9"/>
    <w:rsid w:val="6BE648F5"/>
    <w:rsid w:val="6BEB1F0C"/>
    <w:rsid w:val="6BF40694"/>
    <w:rsid w:val="6BF80185"/>
    <w:rsid w:val="6BFA3EFD"/>
    <w:rsid w:val="6BFC10D7"/>
    <w:rsid w:val="6BFD579B"/>
    <w:rsid w:val="6BFF7765"/>
    <w:rsid w:val="6C0A5356"/>
    <w:rsid w:val="6C136D6D"/>
    <w:rsid w:val="6C180827"/>
    <w:rsid w:val="6C186A79"/>
    <w:rsid w:val="6C1A00FB"/>
    <w:rsid w:val="6C1A459F"/>
    <w:rsid w:val="6C1B4F1C"/>
    <w:rsid w:val="6C1D7BEB"/>
    <w:rsid w:val="6C292B5D"/>
    <w:rsid w:val="6C2B2308"/>
    <w:rsid w:val="6C2E448D"/>
    <w:rsid w:val="6C2F69D8"/>
    <w:rsid w:val="6C384A25"/>
    <w:rsid w:val="6C3A079D"/>
    <w:rsid w:val="6C3C4515"/>
    <w:rsid w:val="6C44786E"/>
    <w:rsid w:val="6C47110C"/>
    <w:rsid w:val="6C474C68"/>
    <w:rsid w:val="6C515AE7"/>
    <w:rsid w:val="6C53360D"/>
    <w:rsid w:val="6C635F46"/>
    <w:rsid w:val="6C6677E4"/>
    <w:rsid w:val="6C67530A"/>
    <w:rsid w:val="6C680F8D"/>
    <w:rsid w:val="6C6B6BA9"/>
    <w:rsid w:val="6C6E0447"/>
    <w:rsid w:val="6C7041BF"/>
    <w:rsid w:val="6C711CE5"/>
    <w:rsid w:val="6C72358B"/>
    <w:rsid w:val="6C733CAF"/>
    <w:rsid w:val="6C7517D5"/>
    <w:rsid w:val="6C7672FB"/>
    <w:rsid w:val="6C7F4402"/>
    <w:rsid w:val="6C8477D1"/>
    <w:rsid w:val="6C895281"/>
    <w:rsid w:val="6C8B2DA7"/>
    <w:rsid w:val="6C937EAD"/>
    <w:rsid w:val="6C983716"/>
    <w:rsid w:val="6C9E1130"/>
    <w:rsid w:val="6C9F2CF6"/>
    <w:rsid w:val="6C9F4764"/>
    <w:rsid w:val="6CA34594"/>
    <w:rsid w:val="6CA83959"/>
    <w:rsid w:val="6CA95923"/>
    <w:rsid w:val="6CAB169B"/>
    <w:rsid w:val="6CAE2F39"/>
    <w:rsid w:val="6CBA18DE"/>
    <w:rsid w:val="6CBC11B2"/>
    <w:rsid w:val="6CBC13A6"/>
    <w:rsid w:val="6CBC5656"/>
    <w:rsid w:val="6CC83FFB"/>
    <w:rsid w:val="6CCE0EE6"/>
    <w:rsid w:val="6CD429A0"/>
    <w:rsid w:val="6CD540D8"/>
    <w:rsid w:val="6CD97FB6"/>
    <w:rsid w:val="6CE07597"/>
    <w:rsid w:val="6CE32BE3"/>
    <w:rsid w:val="6CE54BAD"/>
    <w:rsid w:val="6CF25104"/>
    <w:rsid w:val="6CF7043C"/>
    <w:rsid w:val="6CF748E0"/>
    <w:rsid w:val="6CF90658"/>
    <w:rsid w:val="6D0019E7"/>
    <w:rsid w:val="6D013069"/>
    <w:rsid w:val="6D033285"/>
    <w:rsid w:val="6D064B23"/>
    <w:rsid w:val="6D0668D1"/>
    <w:rsid w:val="6D0773A5"/>
    <w:rsid w:val="6D0A10C1"/>
    <w:rsid w:val="6D0C2BFA"/>
    <w:rsid w:val="6D155425"/>
    <w:rsid w:val="6D176D30"/>
    <w:rsid w:val="6D1D6C3D"/>
    <w:rsid w:val="6D25144D"/>
    <w:rsid w:val="6D286848"/>
    <w:rsid w:val="6D3703DA"/>
    <w:rsid w:val="6D380749"/>
    <w:rsid w:val="6D3E250F"/>
    <w:rsid w:val="6D3E42BD"/>
    <w:rsid w:val="6D4B0788"/>
    <w:rsid w:val="6D5D6CA1"/>
    <w:rsid w:val="6D5E670D"/>
    <w:rsid w:val="6D605FE2"/>
    <w:rsid w:val="6D6261FE"/>
    <w:rsid w:val="6D627650"/>
    <w:rsid w:val="6D631F76"/>
    <w:rsid w:val="6D655CEE"/>
    <w:rsid w:val="6D667370"/>
    <w:rsid w:val="6D6C0E2A"/>
    <w:rsid w:val="6D7101EF"/>
    <w:rsid w:val="6D723F67"/>
    <w:rsid w:val="6D7B2E1B"/>
    <w:rsid w:val="6D8518CA"/>
    <w:rsid w:val="6D8A12B0"/>
    <w:rsid w:val="6D8A7502"/>
    <w:rsid w:val="6D94212F"/>
    <w:rsid w:val="6D965EA7"/>
    <w:rsid w:val="6D9914F3"/>
    <w:rsid w:val="6D9D2847"/>
    <w:rsid w:val="6DA22A9E"/>
    <w:rsid w:val="6DA265FA"/>
    <w:rsid w:val="6DA7727B"/>
    <w:rsid w:val="6DAD4F9F"/>
    <w:rsid w:val="6DAF6549"/>
    <w:rsid w:val="6DB602F7"/>
    <w:rsid w:val="6DB77BCC"/>
    <w:rsid w:val="6DB91B96"/>
    <w:rsid w:val="6DBB76BC"/>
    <w:rsid w:val="6DBE0F5A"/>
    <w:rsid w:val="6DBE71AC"/>
    <w:rsid w:val="6DC742B3"/>
    <w:rsid w:val="6DC870F0"/>
    <w:rsid w:val="6DCC18C9"/>
    <w:rsid w:val="6DCE5641"/>
    <w:rsid w:val="6DDA2238"/>
    <w:rsid w:val="6DDD5884"/>
    <w:rsid w:val="6DDE33AA"/>
    <w:rsid w:val="6DDF784E"/>
    <w:rsid w:val="6DE311EB"/>
    <w:rsid w:val="6DE41D8A"/>
    <w:rsid w:val="6DE50BDD"/>
    <w:rsid w:val="6DEC3D19"/>
    <w:rsid w:val="6DEF7365"/>
    <w:rsid w:val="6DF130DE"/>
    <w:rsid w:val="6DF13320"/>
    <w:rsid w:val="6DF350A8"/>
    <w:rsid w:val="6DFA6436"/>
    <w:rsid w:val="6DFD1A82"/>
    <w:rsid w:val="6E005A16"/>
    <w:rsid w:val="6E0127B0"/>
    <w:rsid w:val="6E056B89"/>
    <w:rsid w:val="6E0819B1"/>
    <w:rsid w:val="6E190C8F"/>
    <w:rsid w:val="6E265006"/>
    <w:rsid w:val="6E292877"/>
    <w:rsid w:val="6E2C680B"/>
    <w:rsid w:val="6E3000AA"/>
    <w:rsid w:val="6E3631E6"/>
    <w:rsid w:val="6E3851B0"/>
    <w:rsid w:val="6E3D4575"/>
    <w:rsid w:val="6E405E13"/>
    <w:rsid w:val="6E4E22DE"/>
    <w:rsid w:val="6E533D98"/>
    <w:rsid w:val="6E586D17"/>
    <w:rsid w:val="6E5A0C83"/>
    <w:rsid w:val="6E5E0284"/>
    <w:rsid w:val="6E5F098F"/>
    <w:rsid w:val="6E62222D"/>
    <w:rsid w:val="6E624A6D"/>
    <w:rsid w:val="6E697118"/>
    <w:rsid w:val="6E6C09B6"/>
    <w:rsid w:val="6E755ABD"/>
    <w:rsid w:val="6E7C509D"/>
    <w:rsid w:val="6E80219C"/>
    <w:rsid w:val="6E8126B3"/>
    <w:rsid w:val="6E82642B"/>
    <w:rsid w:val="6E851A78"/>
    <w:rsid w:val="6E8977BA"/>
    <w:rsid w:val="6E8E4DD0"/>
    <w:rsid w:val="6E9310B7"/>
    <w:rsid w:val="6E934195"/>
    <w:rsid w:val="6E970129"/>
    <w:rsid w:val="6E9879FD"/>
    <w:rsid w:val="6E9B1B8E"/>
    <w:rsid w:val="6E9F0D8B"/>
    <w:rsid w:val="6E9F6FDD"/>
    <w:rsid w:val="6EA36ACE"/>
    <w:rsid w:val="6EA6211A"/>
    <w:rsid w:val="6EAC5256"/>
    <w:rsid w:val="6EB26D11"/>
    <w:rsid w:val="6EB83BFB"/>
    <w:rsid w:val="6EBD1212"/>
    <w:rsid w:val="6EBD7464"/>
    <w:rsid w:val="6EBE56B6"/>
    <w:rsid w:val="6EC151A6"/>
    <w:rsid w:val="6EC32CCC"/>
    <w:rsid w:val="6EC86534"/>
    <w:rsid w:val="6EC922AC"/>
    <w:rsid w:val="6EC95E08"/>
    <w:rsid w:val="6ECB1B80"/>
    <w:rsid w:val="6ECB7DD2"/>
    <w:rsid w:val="6ED24CBD"/>
    <w:rsid w:val="6ED36C87"/>
    <w:rsid w:val="6ED749C9"/>
    <w:rsid w:val="6EDA0016"/>
    <w:rsid w:val="6EDB7BE0"/>
    <w:rsid w:val="6EE844E0"/>
    <w:rsid w:val="6EEB3FD1"/>
    <w:rsid w:val="6EED1AF7"/>
    <w:rsid w:val="6EF03395"/>
    <w:rsid w:val="6EF472F7"/>
    <w:rsid w:val="6EF530A1"/>
    <w:rsid w:val="6EFA2466"/>
    <w:rsid w:val="6EFC1D3A"/>
    <w:rsid w:val="6EFC5E9A"/>
    <w:rsid w:val="6F06705D"/>
    <w:rsid w:val="6F084B83"/>
    <w:rsid w:val="6F0F4163"/>
    <w:rsid w:val="6F1057E5"/>
    <w:rsid w:val="6F110A10"/>
    <w:rsid w:val="6F1572A0"/>
    <w:rsid w:val="6F176B74"/>
    <w:rsid w:val="6F190B3E"/>
    <w:rsid w:val="6F1A6664"/>
    <w:rsid w:val="6F1D71A0"/>
    <w:rsid w:val="6F1E43A6"/>
    <w:rsid w:val="6F1F3C7A"/>
    <w:rsid w:val="6F222375"/>
    <w:rsid w:val="6F2316E8"/>
    <w:rsid w:val="6F2572E9"/>
    <w:rsid w:val="6F2D283B"/>
    <w:rsid w:val="6F375468"/>
    <w:rsid w:val="6F3C482C"/>
    <w:rsid w:val="6F3C65DA"/>
    <w:rsid w:val="6F467459"/>
    <w:rsid w:val="6F4A519B"/>
    <w:rsid w:val="6F5002D8"/>
    <w:rsid w:val="6F573414"/>
    <w:rsid w:val="6F5953DE"/>
    <w:rsid w:val="6F596922"/>
    <w:rsid w:val="6F5B1156"/>
    <w:rsid w:val="6F616041"/>
    <w:rsid w:val="6F651FD5"/>
    <w:rsid w:val="6F655B31"/>
    <w:rsid w:val="6F681F38"/>
    <w:rsid w:val="6F694B09"/>
    <w:rsid w:val="6F6A09F7"/>
    <w:rsid w:val="6F6A1399"/>
    <w:rsid w:val="6F6B5112"/>
    <w:rsid w:val="6F6E5DAA"/>
    <w:rsid w:val="6F7044D6"/>
    <w:rsid w:val="6F717219"/>
    <w:rsid w:val="6F811C8E"/>
    <w:rsid w:val="6F814935"/>
    <w:rsid w:val="6F8561D3"/>
    <w:rsid w:val="6F926B42"/>
    <w:rsid w:val="6F944668"/>
    <w:rsid w:val="6F983387"/>
    <w:rsid w:val="6F997ED1"/>
    <w:rsid w:val="6FA11B7A"/>
    <w:rsid w:val="6FA128E1"/>
    <w:rsid w:val="6FA26D85"/>
    <w:rsid w:val="6FA849C3"/>
    <w:rsid w:val="6FAA3E8C"/>
    <w:rsid w:val="6FAB550E"/>
    <w:rsid w:val="6FB11E2A"/>
    <w:rsid w:val="6FB82179"/>
    <w:rsid w:val="6FC52A74"/>
    <w:rsid w:val="6FC70EAB"/>
    <w:rsid w:val="6FC765C9"/>
    <w:rsid w:val="6FC767EC"/>
    <w:rsid w:val="6FCA1E38"/>
    <w:rsid w:val="6FCD1928"/>
    <w:rsid w:val="6FCF744E"/>
    <w:rsid w:val="6FD131C7"/>
    <w:rsid w:val="6FD40F09"/>
    <w:rsid w:val="6FD607DD"/>
    <w:rsid w:val="6FD66A2F"/>
    <w:rsid w:val="6FDB5DF3"/>
    <w:rsid w:val="6FDE3B35"/>
    <w:rsid w:val="6FE23626"/>
    <w:rsid w:val="6FE63B07"/>
    <w:rsid w:val="6FED5B27"/>
    <w:rsid w:val="6FF15617"/>
    <w:rsid w:val="6FF255CE"/>
    <w:rsid w:val="6FF3138F"/>
    <w:rsid w:val="6FF43359"/>
    <w:rsid w:val="6FF47FFC"/>
    <w:rsid w:val="6FFE1AE2"/>
    <w:rsid w:val="70001CFE"/>
    <w:rsid w:val="7004359C"/>
    <w:rsid w:val="70090BB2"/>
    <w:rsid w:val="700A492A"/>
    <w:rsid w:val="700F0193"/>
    <w:rsid w:val="70113542"/>
    <w:rsid w:val="70141305"/>
    <w:rsid w:val="701F58F4"/>
    <w:rsid w:val="70205EFC"/>
    <w:rsid w:val="7023779A"/>
    <w:rsid w:val="70271038"/>
    <w:rsid w:val="702D371A"/>
    <w:rsid w:val="70385739"/>
    <w:rsid w:val="703A4106"/>
    <w:rsid w:val="703F2826"/>
    <w:rsid w:val="7040659E"/>
    <w:rsid w:val="704467E3"/>
    <w:rsid w:val="7047792D"/>
    <w:rsid w:val="704F233D"/>
    <w:rsid w:val="705362D1"/>
    <w:rsid w:val="705931BC"/>
    <w:rsid w:val="705D4A5A"/>
    <w:rsid w:val="706B361B"/>
    <w:rsid w:val="706E6C67"/>
    <w:rsid w:val="70730722"/>
    <w:rsid w:val="707324D0"/>
    <w:rsid w:val="70743533"/>
    <w:rsid w:val="70747711"/>
    <w:rsid w:val="70756248"/>
    <w:rsid w:val="707B75D6"/>
    <w:rsid w:val="707F70C6"/>
    <w:rsid w:val="70871AD7"/>
    <w:rsid w:val="70875F7B"/>
    <w:rsid w:val="70893AA1"/>
    <w:rsid w:val="708C533F"/>
    <w:rsid w:val="709114D5"/>
    <w:rsid w:val="70933881"/>
    <w:rsid w:val="709A3F00"/>
    <w:rsid w:val="709C1A26"/>
    <w:rsid w:val="709D4620"/>
    <w:rsid w:val="70A22DB5"/>
    <w:rsid w:val="70A42689"/>
    <w:rsid w:val="70A95EF1"/>
    <w:rsid w:val="70AB0B7C"/>
    <w:rsid w:val="70AC59E2"/>
    <w:rsid w:val="70B825D8"/>
    <w:rsid w:val="70BD374B"/>
    <w:rsid w:val="70BF5715"/>
    <w:rsid w:val="70C525FF"/>
    <w:rsid w:val="70C6279A"/>
    <w:rsid w:val="70C76378"/>
    <w:rsid w:val="70D2369A"/>
    <w:rsid w:val="70D56CE6"/>
    <w:rsid w:val="70D867D7"/>
    <w:rsid w:val="70D94A29"/>
    <w:rsid w:val="70DD5B9B"/>
    <w:rsid w:val="70E1568B"/>
    <w:rsid w:val="70E21403"/>
    <w:rsid w:val="70E46F2A"/>
    <w:rsid w:val="70E62CA2"/>
    <w:rsid w:val="70E76A1A"/>
    <w:rsid w:val="70E909E4"/>
    <w:rsid w:val="70EB02B8"/>
    <w:rsid w:val="70ED4030"/>
    <w:rsid w:val="70F353BF"/>
    <w:rsid w:val="70FC0717"/>
    <w:rsid w:val="70FC24C5"/>
    <w:rsid w:val="70FF1FB5"/>
    <w:rsid w:val="71063344"/>
    <w:rsid w:val="710A268A"/>
    <w:rsid w:val="710C47A1"/>
    <w:rsid w:val="710F044A"/>
    <w:rsid w:val="711772FF"/>
    <w:rsid w:val="71185FB7"/>
    <w:rsid w:val="71186BD3"/>
    <w:rsid w:val="711C4915"/>
    <w:rsid w:val="711D243B"/>
    <w:rsid w:val="712612F0"/>
    <w:rsid w:val="71267542"/>
    <w:rsid w:val="712D08D1"/>
    <w:rsid w:val="712F289B"/>
    <w:rsid w:val="713810A0"/>
    <w:rsid w:val="713C0B14"/>
    <w:rsid w:val="713C4FB8"/>
    <w:rsid w:val="71467BE4"/>
    <w:rsid w:val="714A1482"/>
    <w:rsid w:val="715A543E"/>
    <w:rsid w:val="715C11B6"/>
    <w:rsid w:val="715C7408"/>
    <w:rsid w:val="71687B5B"/>
    <w:rsid w:val="71721018"/>
    <w:rsid w:val="717958C4"/>
    <w:rsid w:val="717A163C"/>
    <w:rsid w:val="717C53B4"/>
    <w:rsid w:val="7185070D"/>
    <w:rsid w:val="71864485"/>
    <w:rsid w:val="71867FE1"/>
    <w:rsid w:val="71892278"/>
    <w:rsid w:val="718A4B54"/>
    <w:rsid w:val="71922E29"/>
    <w:rsid w:val="719C78D4"/>
    <w:rsid w:val="719F449E"/>
    <w:rsid w:val="71A14DD9"/>
    <w:rsid w:val="71A32941"/>
    <w:rsid w:val="71A768D5"/>
    <w:rsid w:val="71AB7A47"/>
    <w:rsid w:val="71AD7C63"/>
    <w:rsid w:val="71AF7537"/>
    <w:rsid w:val="71B11484"/>
    <w:rsid w:val="71B2527A"/>
    <w:rsid w:val="71B40FF2"/>
    <w:rsid w:val="71B608C6"/>
    <w:rsid w:val="71B6178D"/>
    <w:rsid w:val="71BC3A02"/>
    <w:rsid w:val="71C11019"/>
    <w:rsid w:val="71C31825"/>
    <w:rsid w:val="71C54FAD"/>
    <w:rsid w:val="71CD20B4"/>
    <w:rsid w:val="71D074AE"/>
    <w:rsid w:val="71E01DE7"/>
    <w:rsid w:val="71E35433"/>
    <w:rsid w:val="71E52F59"/>
    <w:rsid w:val="71E573FD"/>
    <w:rsid w:val="71EA0570"/>
    <w:rsid w:val="71EB08C4"/>
    <w:rsid w:val="71ED0060"/>
    <w:rsid w:val="71F31B1A"/>
    <w:rsid w:val="71F633B8"/>
    <w:rsid w:val="71F907B3"/>
    <w:rsid w:val="72024CCB"/>
    <w:rsid w:val="72086C48"/>
    <w:rsid w:val="720D141A"/>
    <w:rsid w:val="720F6228"/>
    <w:rsid w:val="721101F2"/>
    <w:rsid w:val="72121874"/>
    <w:rsid w:val="72133F6A"/>
    <w:rsid w:val="72181581"/>
    <w:rsid w:val="721D26F3"/>
    <w:rsid w:val="722515A8"/>
    <w:rsid w:val="72282CA4"/>
    <w:rsid w:val="722872EA"/>
    <w:rsid w:val="7237488A"/>
    <w:rsid w:val="72395053"/>
    <w:rsid w:val="723B701D"/>
    <w:rsid w:val="723D2AC8"/>
    <w:rsid w:val="724A3704"/>
    <w:rsid w:val="724C2FD8"/>
    <w:rsid w:val="72523E7A"/>
    <w:rsid w:val="725A3947"/>
    <w:rsid w:val="725B76BF"/>
    <w:rsid w:val="725D51E5"/>
    <w:rsid w:val="725E5A58"/>
    <w:rsid w:val="726328DA"/>
    <w:rsid w:val="72640322"/>
    <w:rsid w:val="726447C6"/>
    <w:rsid w:val="72671BC0"/>
    <w:rsid w:val="72676064"/>
    <w:rsid w:val="726A0422"/>
    <w:rsid w:val="7270316B"/>
    <w:rsid w:val="727147ED"/>
    <w:rsid w:val="72767D85"/>
    <w:rsid w:val="727F515C"/>
    <w:rsid w:val="72810466"/>
    <w:rsid w:val="728409C4"/>
    <w:rsid w:val="728E1843"/>
    <w:rsid w:val="72907369"/>
    <w:rsid w:val="72916C3D"/>
    <w:rsid w:val="7295497F"/>
    <w:rsid w:val="72995877"/>
    <w:rsid w:val="729F57FE"/>
    <w:rsid w:val="72A04DED"/>
    <w:rsid w:val="72A2709C"/>
    <w:rsid w:val="72A5093A"/>
    <w:rsid w:val="72B1108D"/>
    <w:rsid w:val="72BF37AA"/>
    <w:rsid w:val="72C4042E"/>
    <w:rsid w:val="72C45265"/>
    <w:rsid w:val="72C708B1"/>
    <w:rsid w:val="72CC4119"/>
    <w:rsid w:val="72CE60E3"/>
    <w:rsid w:val="72CE7E91"/>
    <w:rsid w:val="72E27499"/>
    <w:rsid w:val="72E927FF"/>
    <w:rsid w:val="72EB0A43"/>
    <w:rsid w:val="72F1592E"/>
    <w:rsid w:val="72FC37CB"/>
    <w:rsid w:val="72FC67AC"/>
    <w:rsid w:val="73004332"/>
    <w:rsid w:val="7306762B"/>
    <w:rsid w:val="730A5F6A"/>
    <w:rsid w:val="73102258"/>
    <w:rsid w:val="7315786E"/>
    <w:rsid w:val="731C29AB"/>
    <w:rsid w:val="731D6723"/>
    <w:rsid w:val="73274B27"/>
    <w:rsid w:val="732857F3"/>
    <w:rsid w:val="732B0E40"/>
    <w:rsid w:val="73334198"/>
    <w:rsid w:val="73353A6C"/>
    <w:rsid w:val="7338355D"/>
    <w:rsid w:val="73412411"/>
    <w:rsid w:val="734B14E2"/>
    <w:rsid w:val="734E051D"/>
    <w:rsid w:val="73544A9D"/>
    <w:rsid w:val="735B3FFC"/>
    <w:rsid w:val="735F4F8D"/>
    <w:rsid w:val="73685BF0"/>
    <w:rsid w:val="736D76AA"/>
    <w:rsid w:val="73726A6F"/>
    <w:rsid w:val="73747404"/>
    <w:rsid w:val="73830C7C"/>
    <w:rsid w:val="7383420D"/>
    <w:rsid w:val="73836ECE"/>
    <w:rsid w:val="73871AC0"/>
    <w:rsid w:val="738A0204"/>
    <w:rsid w:val="738B18DE"/>
    <w:rsid w:val="738D1AFA"/>
    <w:rsid w:val="738F6E40"/>
    <w:rsid w:val="73905147"/>
    <w:rsid w:val="739369E5"/>
    <w:rsid w:val="73966AB0"/>
    <w:rsid w:val="73970742"/>
    <w:rsid w:val="7399049F"/>
    <w:rsid w:val="739C7F8F"/>
    <w:rsid w:val="739D5C0B"/>
    <w:rsid w:val="739E1612"/>
    <w:rsid w:val="73A039FD"/>
    <w:rsid w:val="73A82490"/>
    <w:rsid w:val="73A86934"/>
    <w:rsid w:val="73AA26AC"/>
    <w:rsid w:val="73AF381F"/>
    <w:rsid w:val="73B057E9"/>
    <w:rsid w:val="73B13A3B"/>
    <w:rsid w:val="73BD014B"/>
    <w:rsid w:val="73BE1CB4"/>
    <w:rsid w:val="73C3551C"/>
    <w:rsid w:val="73C60B68"/>
    <w:rsid w:val="73CD1EF7"/>
    <w:rsid w:val="73D414D7"/>
    <w:rsid w:val="73D47729"/>
    <w:rsid w:val="73D634A1"/>
    <w:rsid w:val="73D94D40"/>
    <w:rsid w:val="73DC65DE"/>
    <w:rsid w:val="73EF4563"/>
    <w:rsid w:val="73F27BAF"/>
    <w:rsid w:val="73F456D6"/>
    <w:rsid w:val="73F6638F"/>
    <w:rsid w:val="73FC27DC"/>
    <w:rsid w:val="74031DBD"/>
    <w:rsid w:val="74070859"/>
    <w:rsid w:val="740C0C71"/>
    <w:rsid w:val="740D2C3B"/>
    <w:rsid w:val="740D6797"/>
    <w:rsid w:val="74116287"/>
    <w:rsid w:val="74177616"/>
    <w:rsid w:val="741B0EB4"/>
    <w:rsid w:val="7423420D"/>
    <w:rsid w:val="74237D69"/>
    <w:rsid w:val="74273CFD"/>
    <w:rsid w:val="742C4E6F"/>
    <w:rsid w:val="742D6E39"/>
    <w:rsid w:val="74343D24"/>
    <w:rsid w:val="743B3304"/>
    <w:rsid w:val="74407441"/>
    <w:rsid w:val="74441A16"/>
    <w:rsid w:val="744A3547"/>
    <w:rsid w:val="744C72C0"/>
    <w:rsid w:val="744D3038"/>
    <w:rsid w:val="745148D6"/>
    <w:rsid w:val="745D771F"/>
    <w:rsid w:val="74600FBD"/>
    <w:rsid w:val="746565D3"/>
    <w:rsid w:val="746D5CFF"/>
    <w:rsid w:val="747131CA"/>
    <w:rsid w:val="74737F9D"/>
    <w:rsid w:val="747607E0"/>
    <w:rsid w:val="7476258E"/>
    <w:rsid w:val="747800B5"/>
    <w:rsid w:val="748A428C"/>
    <w:rsid w:val="748F53FE"/>
    <w:rsid w:val="74934EEE"/>
    <w:rsid w:val="7499627D"/>
    <w:rsid w:val="749A44CF"/>
    <w:rsid w:val="74A72748"/>
    <w:rsid w:val="74A94712"/>
    <w:rsid w:val="74AB66DC"/>
    <w:rsid w:val="74AD3448"/>
    <w:rsid w:val="74AD4F46"/>
    <w:rsid w:val="74AE3AD6"/>
    <w:rsid w:val="74B310ED"/>
    <w:rsid w:val="74B80DF9"/>
    <w:rsid w:val="74B83297"/>
    <w:rsid w:val="74BC04D7"/>
    <w:rsid w:val="74BF5CE3"/>
    <w:rsid w:val="74C01046"/>
    <w:rsid w:val="74C4183A"/>
    <w:rsid w:val="74C72DEA"/>
    <w:rsid w:val="74CC0400"/>
    <w:rsid w:val="74CC6652"/>
    <w:rsid w:val="74CE23CA"/>
    <w:rsid w:val="74D13C69"/>
    <w:rsid w:val="74D22640"/>
    <w:rsid w:val="74D239B7"/>
    <w:rsid w:val="74DC4AE7"/>
    <w:rsid w:val="74DD0860"/>
    <w:rsid w:val="74DF1EE2"/>
    <w:rsid w:val="74F10857"/>
    <w:rsid w:val="74FD05BA"/>
    <w:rsid w:val="74FF07D6"/>
    <w:rsid w:val="750951B1"/>
    <w:rsid w:val="75096F5F"/>
    <w:rsid w:val="750D2EF3"/>
    <w:rsid w:val="75134281"/>
    <w:rsid w:val="75181898"/>
    <w:rsid w:val="751B4EE4"/>
    <w:rsid w:val="751C1388"/>
    <w:rsid w:val="751D1FFC"/>
    <w:rsid w:val="752124FA"/>
    <w:rsid w:val="75232716"/>
    <w:rsid w:val="75295853"/>
    <w:rsid w:val="75330480"/>
    <w:rsid w:val="75345FBE"/>
    <w:rsid w:val="753C37D8"/>
    <w:rsid w:val="753D12FE"/>
    <w:rsid w:val="753F6E24"/>
    <w:rsid w:val="75412B9C"/>
    <w:rsid w:val="7544268D"/>
    <w:rsid w:val="75454A9D"/>
    <w:rsid w:val="754E350B"/>
    <w:rsid w:val="75556648"/>
    <w:rsid w:val="755F1275"/>
    <w:rsid w:val="75644ADD"/>
    <w:rsid w:val="756643B1"/>
    <w:rsid w:val="75671ED7"/>
    <w:rsid w:val="756B1734"/>
    <w:rsid w:val="75726F74"/>
    <w:rsid w:val="757545F4"/>
    <w:rsid w:val="757840E4"/>
    <w:rsid w:val="75846F2D"/>
    <w:rsid w:val="758B02BC"/>
    <w:rsid w:val="758E56B6"/>
    <w:rsid w:val="75956A44"/>
    <w:rsid w:val="759E3629"/>
    <w:rsid w:val="75A153E9"/>
    <w:rsid w:val="75A35605"/>
    <w:rsid w:val="75B024BB"/>
    <w:rsid w:val="75B0387E"/>
    <w:rsid w:val="75B827CF"/>
    <w:rsid w:val="75BC3DFE"/>
    <w:rsid w:val="75BE5F9B"/>
    <w:rsid w:val="75C4732A"/>
    <w:rsid w:val="75CC6DFC"/>
    <w:rsid w:val="75D05CCE"/>
    <w:rsid w:val="75D73501"/>
    <w:rsid w:val="75D752AF"/>
    <w:rsid w:val="75DA6B4D"/>
    <w:rsid w:val="75DC28C5"/>
    <w:rsid w:val="75DF5F11"/>
    <w:rsid w:val="75E17EDC"/>
    <w:rsid w:val="75E53965"/>
    <w:rsid w:val="75E71E1F"/>
    <w:rsid w:val="75E97DAE"/>
    <w:rsid w:val="75EA3234"/>
    <w:rsid w:val="75EB0BC3"/>
    <w:rsid w:val="75EB0D5A"/>
    <w:rsid w:val="75EB48B6"/>
    <w:rsid w:val="75EF43A6"/>
    <w:rsid w:val="75F2349A"/>
    <w:rsid w:val="75F26F32"/>
    <w:rsid w:val="75F5335D"/>
    <w:rsid w:val="75FE0A8D"/>
    <w:rsid w:val="75FE45EA"/>
    <w:rsid w:val="75FF1536"/>
    <w:rsid w:val="760B4F58"/>
    <w:rsid w:val="760D6F22"/>
    <w:rsid w:val="76117405"/>
    <w:rsid w:val="76164029"/>
    <w:rsid w:val="761658E5"/>
    <w:rsid w:val="7617592C"/>
    <w:rsid w:val="761A1B80"/>
    <w:rsid w:val="7621477C"/>
    <w:rsid w:val="762242B7"/>
    <w:rsid w:val="762304F4"/>
    <w:rsid w:val="762D1373"/>
    <w:rsid w:val="762D4ECF"/>
    <w:rsid w:val="76312C11"/>
    <w:rsid w:val="76322C84"/>
    <w:rsid w:val="76361FD5"/>
    <w:rsid w:val="76377AFB"/>
    <w:rsid w:val="76387379"/>
    <w:rsid w:val="763B4414"/>
    <w:rsid w:val="763E70DC"/>
    <w:rsid w:val="7649351F"/>
    <w:rsid w:val="764A3CD3"/>
    <w:rsid w:val="764A782F"/>
    <w:rsid w:val="764A7A65"/>
    <w:rsid w:val="764C19FC"/>
    <w:rsid w:val="764D47D1"/>
    <w:rsid w:val="765718F0"/>
    <w:rsid w:val="765E777E"/>
    <w:rsid w:val="7662726E"/>
    <w:rsid w:val="766A6123"/>
    <w:rsid w:val="7677439C"/>
    <w:rsid w:val="76790114"/>
    <w:rsid w:val="767E572A"/>
    <w:rsid w:val="767F6735"/>
    <w:rsid w:val="7683789C"/>
    <w:rsid w:val="76856AB9"/>
    <w:rsid w:val="768A2321"/>
    <w:rsid w:val="768C26EE"/>
    <w:rsid w:val="76911902"/>
    <w:rsid w:val="7691545E"/>
    <w:rsid w:val="7694203A"/>
    <w:rsid w:val="76984A3E"/>
    <w:rsid w:val="76A333E3"/>
    <w:rsid w:val="76A35191"/>
    <w:rsid w:val="76A5715B"/>
    <w:rsid w:val="76A72ED3"/>
    <w:rsid w:val="76AE6010"/>
    <w:rsid w:val="76AF7FDA"/>
    <w:rsid w:val="76B4739E"/>
    <w:rsid w:val="76B63116"/>
    <w:rsid w:val="76B92C06"/>
    <w:rsid w:val="76BD6253"/>
    <w:rsid w:val="76BE3220"/>
    <w:rsid w:val="76C43A85"/>
    <w:rsid w:val="76C92E49"/>
    <w:rsid w:val="76CA6985"/>
    <w:rsid w:val="76CC293A"/>
    <w:rsid w:val="76CE66B2"/>
    <w:rsid w:val="76D65876"/>
    <w:rsid w:val="76E01F41"/>
    <w:rsid w:val="76FF4ABD"/>
    <w:rsid w:val="7706409E"/>
    <w:rsid w:val="77091498"/>
    <w:rsid w:val="770E6AAE"/>
    <w:rsid w:val="77100A78"/>
    <w:rsid w:val="771C566F"/>
    <w:rsid w:val="772269FE"/>
    <w:rsid w:val="7725204A"/>
    <w:rsid w:val="7727782A"/>
    <w:rsid w:val="77302EC9"/>
    <w:rsid w:val="77336515"/>
    <w:rsid w:val="77366005"/>
    <w:rsid w:val="77400C32"/>
    <w:rsid w:val="774C3647"/>
    <w:rsid w:val="77512E3F"/>
    <w:rsid w:val="77521AFC"/>
    <w:rsid w:val="775748F9"/>
    <w:rsid w:val="775F6EEC"/>
    <w:rsid w:val="7760037C"/>
    <w:rsid w:val="776112D4"/>
    <w:rsid w:val="776B2153"/>
    <w:rsid w:val="776D40C1"/>
    <w:rsid w:val="77707769"/>
    <w:rsid w:val="777728A5"/>
    <w:rsid w:val="777731D8"/>
    <w:rsid w:val="777C7EBC"/>
    <w:rsid w:val="777D3C34"/>
    <w:rsid w:val="777F5BFE"/>
    <w:rsid w:val="77807966"/>
    <w:rsid w:val="778154D2"/>
    <w:rsid w:val="7783749C"/>
    <w:rsid w:val="779A47E6"/>
    <w:rsid w:val="779A6594"/>
    <w:rsid w:val="779E42D6"/>
    <w:rsid w:val="779F004E"/>
    <w:rsid w:val="77A15B74"/>
    <w:rsid w:val="77A4101A"/>
    <w:rsid w:val="77AE0291"/>
    <w:rsid w:val="77B05DB7"/>
    <w:rsid w:val="77B21B30"/>
    <w:rsid w:val="77BC650A"/>
    <w:rsid w:val="77BD2282"/>
    <w:rsid w:val="77C41863"/>
    <w:rsid w:val="77C83101"/>
    <w:rsid w:val="77C875A5"/>
    <w:rsid w:val="77C90C27"/>
    <w:rsid w:val="77CB499F"/>
    <w:rsid w:val="77CE623E"/>
    <w:rsid w:val="77D00208"/>
    <w:rsid w:val="77D45F4A"/>
    <w:rsid w:val="77D71596"/>
    <w:rsid w:val="77D72A8E"/>
    <w:rsid w:val="77DB4338"/>
    <w:rsid w:val="77DC095A"/>
    <w:rsid w:val="77E67A2B"/>
    <w:rsid w:val="77EB3293"/>
    <w:rsid w:val="77F250B7"/>
    <w:rsid w:val="77F36EBE"/>
    <w:rsid w:val="77F51A1C"/>
    <w:rsid w:val="77F739E6"/>
    <w:rsid w:val="77FC7A4D"/>
    <w:rsid w:val="78006D3F"/>
    <w:rsid w:val="78061E7B"/>
    <w:rsid w:val="780B56E4"/>
    <w:rsid w:val="780D4FB8"/>
    <w:rsid w:val="780F5216"/>
    <w:rsid w:val="781520BE"/>
    <w:rsid w:val="78170512"/>
    <w:rsid w:val="781A1483"/>
    <w:rsid w:val="781D187E"/>
    <w:rsid w:val="781E5417"/>
    <w:rsid w:val="781E71C5"/>
    <w:rsid w:val="781F6A99"/>
    <w:rsid w:val="782567A5"/>
    <w:rsid w:val="782A0E50"/>
    <w:rsid w:val="782B3690"/>
    <w:rsid w:val="782D7408"/>
    <w:rsid w:val="783110B9"/>
    <w:rsid w:val="78362761"/>
    <w:rsid w:val="783B1B25"/>
    <w:rsid w:val="783C764B"/>
    <w:rsid w:val="783E7867"/>
    <w:rsid w:val="78436C2C"/>
    <w:rsid w:val="784D1858"/>
    <w:rsid w:val="78540E39"/>
    <w:rsid w:val="78564BB1"/>
    <w:rsid w:val="78591FAB"/>
    <w:rsid w:val="785D5F3F"/>
    <w:rsid w:val="786848E4"/>
    <w:rsid w:val="78770683"/>
    <w:rsid w:val="787943FB"/>
    <w:rsid w:val="78816B60"/>
    <w:rsid w:val="78850FF2"/>
    <w:rsid w:val="78857244"/>
    <w:rsid w:val="78872FBC"/>
    <w:rsid w:val="78886D34"/>
    <w:rsid w:val="788A485A"/>
    <w:rsid w:val="78940D11"/>
    <w:rsid w:val="789C64D0"/>
    <w:rsid w:val="789D458E"/>
    <w:rsid w:val="78A00821"/>
    <w:rsid w:val="78A23952"/>
    <w:rsid w:val="78A2537A"/>
    <w:rsid w:val="78A77F37"/>
    <w:rsid w:val="78AB6C95"/>
    <w:rsid w:val="78AC2A23"/>
    <w:rsid w:val="78AD22F7"/>
    <w:rsid w:val="78AF42C1"/>
    <w:rsid w:val="78AF69D1"/>
    <w:rsid w:val="78B11DE7"/>
    <w:rsid w:val="78B23347"/>
    <w:rsid w:val="78B2790D"/>
    <w:rsid w:val="78B6193F"/>
    <w:rsid w:val="78BB4A14"/>
    <w:rsid w:val="78BD078C"/>
    <w:rsid w:val="78C31B1A"/>
    <w:rsid w:val="78C338C8"/>
    <w:rsid w:val="78CB2E2D"/>
    <w:rsid w:val="78D36201"/>
    <w:rsid w:val="78D6145B"/>
    <w:rsid w:val="78D67AA0"/>
    <w:rsid w:val="78D83818"/>
    <w:rsid w:val="78DA7590"/>
    <w:rsid w:val="78DB50B6"/>
    <w:rsid w:val="78E71CAD"/>
    <w:rsid w:val="78E81581"/>
    <w:rsid w:val="78E90425"/>
    <w:rsid w:val="78EA52F9"/>
    <w:rsid w:val="78EF0B61"/>
    <w:rsid w:val="78FA19E0"/>
    <w:rsid w:val="78FB7506"/>
    <w:rsid w:val="78FF6FF6"/>
    <w:rsid w:val="79030169"/>
    <w:rsid w:val="790939D1"/>
    <w:rsid w:val="790A14F7"/>
    <w:rsid w:val="790C1713"/>
    <w:rsid w:val="79110AD8"/>
    <w:rsid w:val="79151218"/>
    <w:rsid w:val="791B3704"/>
    <w:rsid w:val="791D122B"/>
    <w:rsid w:val="79294BA1"/>
    <w:rsid w:val="792C3B64"/>
    <w:rsid w:val="79330A4E"/>
    <w:rsid w:val="793B2D9E"/>
    <w:rsid w:val="793D18CD"/>
    <w:rsid w:val="793F5645"/>
    <w:rsid w:val="7940316B"/>
    <w:rsid w:val="794964C4"/>
    <w:rsid w:val="794B223C"/>
    <w:rsid w:val="794C0316"/>
    <w:rsid w:val="794C38BE"/>
    <w:rsid w:val="794E7636"/>
    <w:rsid w:val="79565B20"/>
    <w:rsid w:val="795869ED"/>
    <w:rsid w:val="795D1F6F"/>
    <w:rsid w:val="795F5CE7"/>
    <w:rsid w:val="79621333"/>
    <w:rsid w:val="796432FD"/>
    <w:rsid w:val="796450AB"/>
    <w:rsid w:val="796E7CD8"/>
    <w:rsid w:val="797057FE"/>
    <w:rsid w:val="79722C07"/>
    <w:rsid w:val="797425DD"/>
    <w:rsid w:val="79784F25"/>
    <w:rsid w:val="79797662"/>
    <w:rsid w:val="797B41A3"/>
    <w:rsid w:val="79823784"/>
    <w:rsid w:val="798474FC"/>
    <w:rsid w:val="798B2638"/>
    <w:rsid w:val="798D4602"/>
    <w:rsid w:val="79956A18"/>
    <w:rsid w:val="79A27982"/>
    <w:rsid w:val="79A731EA"/>
    <w:rsid w:val="79A951B4"/>
    <w:rsid w:val="79AB2CDA"/>
    <w:rsid w:val="79AB6836"/>
    <w:rsid w:val="79B3393D"/>
    <w:rsid w:val="79B443D5"/>
    <w:rsid w:val="79BB79E0"/>
    <w:rsid w:val="79BC6C95"/>
    <w:rsid w:val="79BD2A0E"/>
    <w:rsid w:val="79BF1616"/>
    <w:rsid w:val="79BF6786"/>
    <w:rsid w:val="79C8563A"/>
    <w:rsid w:val="79CB6ED9"/>
    <w:rsid w:val="79D12015"/>
    <w:rsid w:val="79D264B9"/>
    <w:rsid w:val="79D35D8D"/>
    <w:rsid w:val="79D51B05"/>
    <w:rsid w:val="79D833A4"/>
    <w:rsid w:val="79DF2984"/>
    <w:rsid w:val="79E1494E"/>
    <w:rsid w:val="79E65AC0"/>
    <w:rsid w:val="79F91C98"/>
    <w:rsid w:val="79FC1788"/>
    <w:rsid w:val="7A067F11"/>
    <w:rsid w:val="7A0B5527"/>
    <w:rsid w:val="7A0F3269"/>
    <w:rsid w:val="7A106FE1"/>
    <w:rsid w:val="7A124B07"/>
    <w:rsid w:val="7A150154"/>
    <w:rsid w:val="7A1A1C0E"/>
    <w:rsid w:val="7A1E16FE"/>
    <w:rsid w:val="7A2A00A3"/>
    <w:rsid w:val="7A2F7467"/>
    <w:rsid w:val="7A305DAE"/>
    <w:rsid w:val="7A382CBF"/>
    <w:rsid w:val="7A3A405E"/>
    <w:rsid w:val="7A3E58FC"/>
    <w:rsid w:val="7A4606C0"/>
    <w:rsid w:val="7A4B0019"/>
    <w:rsid w:val="7A5275FA"/>
    <w:rsid w:val="7A545120"/>
    <w:rsid w:val="7A5A57C1"/>
    <w:rsid w:val="7A5E1AFB"/>
    <w:rsid w:val="7A5E5F9F"/>
    <w:rsid w:val="7A695F3F"/>
    <w:rsid w:val="7A6A04A0"/>
    <w:rsid w:val="7A7466C1"/>
    <w:rsid w:val="7A7C6425"/>
    <w:rsid w:val="7A7D6F86"/>
    <w:rsid w:val="7A7E0136"/>
    <w:rsid w:val="7A7E3F4B"/>
    <w:rsid w:val="7A805F15"/>
    <w:rsid w:val="7A807CC3"/>
    <w:rsid w:val="7A862E00"/>
    <w:rsid w:val="7A884099"/>
    <w:rsid w:val="7A8D2E7D"/>
    <w:rsid w:val="7A8E67CA"/>
    <w:rsid w:val="7A97325F"/>
    <w:rsid w:val="7A97500D"/>
    <w:rsid w:val="7A9B793E"/>
    <w:rsid w:val="7A9E45ED"/>
    <w:rsid w:val="7AA17C39"/>
    <w:rsid w:val="7AA53BCD"/>
    <w:rsid w:val="7AA5772A"/>
    <w:rsid w:val="7AA716F4"/>
    <w:rsid w:val="7AAA11E4"/>
    <w:rsid w:val="7AAC0428"/>
    <w:rsid w:val="7AB61937"/>
    <w:rsid w:val="7AB65C87"/>
    <w:rsid w:val="7AB756AF"/>
    <w:rsid w:val="7ABC4A73"/>
    <w:rsid w:val="7ABD0F17"/>
    <w:rsid w:val="7ABE6A3D"/>
    <w:rsid w:val="7ABF6602"/>
    <w:rsid w:val="7AC57DCC"/>
    <w:rsid w:val="7AC67DB9"/>
    <w:rsid w:val="7AC97DEB"/>
    <w:rsid w:val="7ACA0BEC"/>
    <w:rsid w:val="7ACA3634"/>
    <w:rsid w:val="7ACA53E2"/>
    <w:rsid w:val="7ADD3367"/>
    <w:rsid w:val="7ADE2C3C"/>
    <w:rsid w:val="7AE04C06"/>
    <w:rsid w:val="7AE71AF0"/>
    <w:rsid w:val="7AEA5A84"/>
    <w:rsid w:val="7AED10D1"/>
    <w:rsid w:val="7AF11190"/>
    <w:rsid w:val="7AF661D7"/>
    <w:rsid w:val="7B0F1047"/>
    <w:rsid w:val="7B152B01"/>
    <w:rsid w:val="7B164037"/>
    <w:rsid w:val="7B1A27DF"/>
    <w:rsid w:val="7B1B3E90"/>
    <w:rsid w:val="7B1E74DC"/>
    <w:rsid w:val="7B220D7A"/>
    <w:rsid w:val="7B2C31E8"/>
    <w:rsid w:val="7B2E771F"/>
    <w:rsid w:val="7B364826"/>
    <w:rsid w:val="7B42766E"/>
    <w:rsid w:val="7B552893"/>
    <w:rsid w:val="7B583AA9"/>
    <w:rsid w:val="7B5B24DE"/>
    <w:rsid w:val="7B5F1FCE"/>
    <w:rsid w:val="7B68086A"/>
    <w:rsid w:val="7B737828"/>
    <w:rsid w:val="7B783090"/>
    <w:rsid w:val="7B786BEC"/>
    <w:rsid w:val="7B7F332D"/>
    <w:rsid w:val="7B7F7F7B"/>
    <w:rsid w:val="7B840499"/>
    <w:rsid w:val="7B8437E3"/>
    <w:rsid w:val="7B8657AD"/>
    <w:rsid w:val="7B8C08E9"/>
    <w:rsid w:val="7B8E01BE"/>
    <w:rsid w:val="7B937ECA"/>
    <w:rsid w:val="7B986208"/>
    <w:rsid w:val="7B9A6B62"/>
    <w:rsid w:val="7BA06143"/>
    <w:rsid w:val="7BA23C69"/>
    <w:rsid w:val="7BA67BFD"/>
    <w:rsid w:val="7BA75723"/>
    <w:rsid w:val="7BAB0D70"/>
    <w:rsid w:val="7BAD0F8C"/>
    <w:rsid w:val="7BAE39B3"/>
    <w:rsid w:val="7BAE6AB2"/>
    <w:rsid w:val="7BB265A2"/>
    <w:rsid w:val="7BB51BEE"/>
    <w:rsid w:val="7BB51F6D"/>
    <w:rsid w:val="7BB5432D"/>
    <w:rsid w:val="7BB57E40"/>
    <w:rsid w:val="7BBA0FB3"/>
    <w:rsid w:val="7BBF0CBF"/>
    <w:rsid w:val="7BBF2A6D"/>
    <w:rsid w:val="7BC97448"/>
    <w:rsid w:val="7BCB31C0"/>
    <w:rsid w:val="7BD302C6"/>
    <w:rsid w:val="7BD32074"/>
    <w:rsid w:val="7BE10C35"/>
    <w:rsid w:val="7BE20509"/>
    <w:rsid w:val="7BE40725"/>
    <w:rsid w:val="7BF00E78"/>
    <w:rsid w:val="7BFD5343"/>
    <w:rsid w:val="7C0028A7"/>
    <w:rsid w:val="7C016BE2"/>
    <w:rsid w:val="7C047FF7"/>
    <w:rsid w:val="7C06069C"/>
    <w:rsid w:val="7C09018C"/>
    <w:rsid w:val="7C0924C9"/>
    <w:rsid w:val="7C0B180E"/>
    <w:rsid w:val="7C0B3F04"/>
    <w:rsid w:val="7C0E7550"/>
    <w:rsid w:val="7C105077"/>
    <w:rsid w:val="7C1508DF"/>
    <w:rsid w:val="7C15268D"/>
    <w:rsid w:val="7C1A5EF5"/>
    <w:rsid w:val="7C1D1542"/>
    <w:rsid w:val="7C1E3C37"/>
    <w:rsid w:val="7C1F52BA"/>
    <w:rsid w:val="7C23124E"/>
    <w:rsid w:val="7C2A25DC"/>
    <w:rsid w:val="7C321491"/>
    <w:rsid w:val="7C354905"/>
    <w:rsid w:val="7C370855"/>
    <w:rsid w:val="7C3E7E36"/>
    <w:rsid w:val="7C413482"/>
    <w:rsid w:val="7C4371FA"/>
    <w:rsid w:val="7C466CEA"/>
    <w:rsid w:val="7C4A42C6"/>
    <w:rsid w:val="7C4A4A2C"/>
    <w:rsid w:val="7C4D62CB"/>
    <w:rsid w:val="7C501917"/>
    <w:rsid w:val="7C5036C5"/>
    <w:rsid w:val="7C5331B5"/>
    <w:rsid w:val="7C5E4034"/>
    <w:rsid w:val="7C6453C2"/>
    <w:rsid w:val="7C650F76"/>
    <w:rsid w:val="7C686C61"/>
    <w:rsid w:val="7C694787"/>
    <w:rsid w:val="7C6A0C2B"/>
    <w:rsid w:val="7C6F4493"/>
    <w:rsid w:val="7C702B07"/>
    <w:rsid w:val="7C75312C"/>
    <w:rsid w:val="7C790E6E"/>
    <w:rsid w:val="7C7C44BA"/>
    <w:rsid w:val="7C885555"/>
    <w:rsid w:val="7C8D4919"/>
    <w:rsid w:val="7C947B86"/>
    <w:rsid w:val="7CA0289E"/>
    <w:rsid w:val="7CA24505"/>
    <w:rsid w:val="7CA26617"/>
    <w:rsid w:val="7CA659DB"/>
    <w:rsid w:val="7CAA1027"/>
    <w:rsid w:val="7CAF663E"/>
    <w:rsid w:val="7CB023B6"/>
    <w:rsid w:val="7CB225D2"/>
    <w:rsid w:val="7CB54A9B"/>
    <w:rsid w:val="7CC540B3"/>
    <w:rsid w:val="7CC80DF1"/>
    <w:rsid w:val="7CC876FF"/>
    <w:rsid w:val="7CD649C6"/>
    <w:rsid w:val="7CE3278B"/>
    <w:rsid w:val="7CEA3BD6"/>
    <w:rsid w:val="7CEC1640"/>
    <w:rsid w:val="7CEC561B"/>
    <w:rsid w:val="7CF404F4"/>
    <w:rsid w:val="7CF44998"/>
    <w:rsid w:val="7CFD384D"/>
    <w:rsid w:val="7D012C11"/>
    <w:rsid w:val="7D023909"/>
    <w:rsid w:val="7D036989"/>
    <w:rsid w:val="7D050953"/>
    <w:rsid w:val="7D056BA5"/>
    <w:rsid w:val="7D0753DD"/>
    <w:rsid w:val="7D0E4A27"/>
    <w:rsid w:val="7D0E4DAE"/>
    <w:rsid w:val="7D0F532E"/>
    <w:rsid w:val="7D1172F8"/>
    <w:rsid w:val="7D1312C2"/>
    <w:rsid w:val="7D133070"/>
    <w:rsid w:val="7D221505"/>
    <w:rsid w:val="7D2A03BA"/>
    <w:rsid w:val="7D2C4132"/>
    <w:rsid w:val="7D2E7EAA"/>
    <w:rsid w:val="7D32101D"/>
    <w:rsid w:val="7D382AD7"/>
    <w:rsid w:val="7D3D33A9"/>
    <w:rsid w:val="7D3E55DC"/>
    <w:rsid w:val="7D3F20B7"/>
    <w:rsid w:val="7D40198C"/>
    <w:rsid w:val="7D427194"/>
    <w:rsid w:val="7D470F6C"/>
    <w:rsid w:val="7D480840"/>
    <w:rsid w:val="7D4908F7"/>
    <w:rsid w:val="7D497EC4"/>
    <w:rsid w:val="7D4A0A5C"/>
    <w:rsid w:val="7D4A280A"/>
    <w:rsid w:val="7D5F62B6"/>
    <w:rsid w:val="7D63567A"/>
    <w:rsid w:val="7D6774DC"/>
    <w:rsid w:val="7D6E43C6"/>
    <w:rsid w:val="7D741635"/>
    <w:rsid w:val="7D7513B3"/>
    <w:rsid w:val="7D7F0706"/>
    <w:rsid w:val="7D823D52"/>
    <w:rsid w:val="7D891584"/>
    <w:rsid w:val="7D8C08A4"/>
    <w:rsid w:val="7D8F646F"/>
    <w:rsid w:val="7D965A4F"/>
    <w:rsid w:val="7D9677FD"/>
    <w:rsid w:val="7D9C12B8"/>
    <w:rsid w:val="7DA01541"/>
    <w:rsid w:val="7DA243F4"/>
    <w:rsid w:val="7DA95783"/>
    <w:rsid w:val="7DAB14FB"/>
    <w:rsid w:val="7DAF6776"/>
    <w:rsid w:val="7DB1097E"/>
    <w:rsid w:val="7DB31DBC"/>
    <w:rsid w:val="7DB3215D"/>
    <w:rsid w:val="7DB83C18"/>
    <w:rsid w:val="7DBB1012"/>
    <w:rsid w:val="7DBF4FA6"/>
    <w:rsid w:val="7DC12ACC"/>
    <w:rsid w:val="7DC3365B"/>
    <w:rsid w:val="7DC46119"/>
    <w:rsid w:val="7DC66335"/>
    <w:rsid w:val="7DD56578"/>
    <w:rsid w:val="7DD6584C"/>
    <w:rsid w:val="7DD65E4C"/>
    <w:rsid w:val="7DDB16B4"/>
    <w:rsid w:val="7DE22A43"/>
    <w:rsid w:val="7DF05160"/>
    <w:rsid w:val="7DF10ED8"/>
    <w:rsid w:val="7DF74740"/>
    <w:rsid w:val="7DFC3B04"/>
    <w:rsid w:val="7E0155BF"/>
    <w:rsid w:val="7E01736D"/>
    <w:rsid w:val="7E024E93"/>
    <w:rsid w:val="7E0415D4"/>
    <w:rsid w:val="7E0429B9"/>
    <w:rsid w:val="7E064983"/>
    <w:rsid w:val="7E074257"/>
    <w:rsid w:val="7E1626EC"/>
    <w:rsid w:val="7E1E42EF"/>
    <w:rsid w:val="7E260B81"/>
    <w:rsid w:val="7E275317"/>
    <w:rsid w:val="7E2E7A36"/>
    <w:rsid w:val="7E3037AE"/>
    <w:rsid w:val="7E307B0A"/>
    <w:rsid w:val="7E330FDD"/>
    <w:rsid w:val="7E355268"/>
    <w:rsid w:val="7E386B07"/>
    <w:rsid w:val="7E3A63DB"/>
    <w:rsid w:val="7E3F60E7"/>
    <w:rsid w:val="7E462FD2"/>
    <w:rsid w:val="7E470887"/>
    <w:rsid w:val="7E5F22E5"/>
    <w:rsid w:val="7E631DD5"/>
    <w:rsid w:val="7E665422"/>
    <w:rsid w:val="7E6B34F5"/>
    <w:rsid w:val="7E6C09FD"/>
    <w:rsid w:val="7E6D4A02"/>
    <w:rsid w:val="7E6E636B"/>
    <w:rsid w:val="7E6F077A"/>
    <w:rsid w:val="7E70004F"/>
    <w:rsid w:val="7E725B75"/>
    <w:rsid w:val="7E751B09"/>
    <w:rsid w:val="7E7933A7"/>
    <w:rsid w:val="7E795155"/>
    <w:rsid w:val="7E7B31DC"/>
    <w:rsid w:val="7E8345C7"/>
    <w:rsid w:val="7E851D4C"/>
    <w:rsid w:val="7E8A7362"/>
    <w:rsid w:val="7E8D6E52"/>
    <w:rsid w:val="7E90249F"/>
    <w:rsid w:val="7E906943"/>
    <w:rsid w:val="7E9814BA"/>
    <w:rsid w:val="7E9A50CB"/>
    <w:rsid w:val="7EA36676"/>
    <w:rsid w:val="7EA47CF8"/>
    <w:rsid w:val="7EA6304A"/>
    <w:rsid w:val="7EB0669D"/>
    <w:rsid w:val="7EB268B9"/>
    <w:rsid w:val="7EB33023"/>
    <w:rsid w:val="7EB75C7D"/>
    <w:rsid w:val="7EB919F5"/>
    <w:rsid w:val="7ECB1729"/>
    <w:rsid w:val="7ECC34D0"/>
    <w:rsid w:val="7ECD54A1"/>
    <w:rsid w:val="7ECF746B"/>
    <w:rsid w:val="7ED11BDF"/>
    <w:rsid w:val="7ED24865"/>
    <w:rsid w:val="7ED405DD"/>
    <w:rsid w:val="7ED607F9"/>
    <w:rsid w:val="7ED700CE"/>
    <w:rsid w:val="7ED76320"/>
    <w:rsid w:val="7EE24644"/>
    <w:rsid w:val="7EE36A72"/>
    <w:rsid w:val="7EE54599"/>
    <w:rsid w:val="7EE8052D"/>
    <w:rsid w:val="7EED5B43"/>
    <w:rsid w:val="7EED78F1"/>
    <w:rsid w:val="7EEF71C5"/>
    <w:rsid w:val="7EF50554"/>
    <w:rsid w:val="7EFC7B34"/>
    <w:rsid w:val="7F005876"/>
    <w:rsid w:val="7F054C3B"/>
    <w:rsid w:val="7F08472B"/>
    <w:rsid w:val="7F0A749D"/>
    <w:rsid w:val="7F127358"/>
    <w:rsid w:val="7F166A0D"/>
    <w:rsid w:val="7F17496E"/>
    <w:rsid w:val="7F196938"/>
    <w:rsid w:val="7F1B7FBA"/>
    <w:rsid w:val="7F1E3F4E"/>
    <w:rsid w:val="7F1E7AAB"/>
    <w:rsid w:val="7F207CC7"/>
    <w:rsid w:val="7F272E03"/>
    <w:rsid w:val="7F3217A8"/>
    <w:rsid w:val="7F323556"/>
    <w:rsid w:val="7F3379FA"/>
    <w:rsid w:val="7F3D43D5"/>
    <w:rsid w:val="7F3E014D"/>
    <w:rsid w:val="7F3F70A9"/>
    <w:rsid w:val="7F452B42"/>
    <w:rsid w:val="7F480FCB"/>
    <w:rsid w:val="7F4C286A"/>
    <w:rsid w:val="7F4D213E"/>
    <w:rsid w:val="7F4F5EB6"/>
    <w:rsid w:val="7F517E80"/>
    <w:rsid w:val="7F572FBC"/>
    <w:rsid w:val="7F5B0CFF"/>
    <w:rsid w:val="7F5B2AAD"/>
    <w:rsid w:val="7F5F07EF"/>
    <w:rsid w:val="7F7B4EFD"/>
    <w:rsid w:val="7F7C3A97"/>
    <w:rsid w:val="7F853FCE"/>
    <w:rsid w:val="7F857B2A"/>
    <w:rsid w:val="7F89761A"/>
    <w:rsid w:val="7F8A5140"/>
    <w:rsid w:val="7F934D2E"/>
    <w:rsid w:val="7F985AAF"/>
    <w:rsid w:val="7F9A1827"/>
    <w:rsid w:val="7F9D30C5"/>
    <w:rsid w:val="7F9F508F"/>
    <w:rsid w:val="7FA426A6"/>
    <w:rsid w:val="7FA44DC6"/>
    <w:rsid w:val="7FA51F7A"/>
    <w:rsid w:val="7FAC3308"/>
    <w:rsid w:val="7FAE0E2E"/>
    <w:rsid w:val="7FAF2DF8"/>
    <w:rsid w:val="7FB1091F"/>
    <w:rsid w:val="7FB12A09"/>
    <w:rsid w:val="7FBD5515"/>
    <w:rsid w:val="7FCC7507"/>
    <w:rsid w:val="7FD655CE"/>
    <w:rsid w:val="7FD810E5"/>
    <w:rsid w:val="7FD8234F"/>
    <w:rsid w:val="7FDA60C7"/>
    <w:rsid w:val="7FDD3720"/>
    <w:rsid w:val="7FEC1957"/>
    <w:rsid w:val="7FEC39B6"/>
    <w:rsid w:val="7FEE1B73"/>
    <w:rsid w:val="7FF16F6D"/>
    <w:rsid w:val="7FF440B5"/>
    <w:rsid w:val="7FF60A27"/>
    <w:rsid w:val="7FF64AAB"/>
    <w:rsid w:val="7FF8479F"/>
    <w:rsid w:val="7FFB7DEC"/>
    <w:rsid w:val="7FFD1DB6"/>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240" w:lineRule="atLeast"/>
      <w:ind w:left="-105" w:leftChars="-50" w:right="-105" w:rightChars="-50"/>
      <w:jc w:val="both"/>
    </w:pPr>
    <w:rPr>
      <w:rFonts w:ascii="Times New Roman" w:hAnsi="Times New Roman" w:eastAsia="仿宋_GB2312" w:cs="Times New Roman"/>
      <w:kern w:val="2"/>
      <w:sz w:val="21"/>
      <w:szCs w:val="24"/>
      <w:lang w:val="en-US" w:eastAsia="zh-CN" w:bidi="ar-SA"/>
    </w:rPr>
  </w:style>
  <w:style w:type="paragraph" w:styleId="3">
    <w:name w:val="heading 1"/>
    <w:basedOn w:val="1"/>
    <w:next w:val="1"/>
    <w:link w:val="21"/>
    <w:qFormat/>
    <w:uiPriority w:val="0"/>
    <w:pPr>
      <w:keepNext/>
      <w:keepLines/>
      <w:spacing w:before="340" w:after="330" w:line="578" w:lineRule="atLeast"/>
      <w:outlineLvl w:val="0"/>
    </w:pPr>
    <w:rPr>
      <w:b/>
      <w:bCs/>
      <w:kern w:val="44"/>
      <w:sz w:val="44"/>
      <w:szCs w:val="44"/>
    </w:rPr>
  </w:style>
  <w:style w:type="paragraph" w:styleId="4">
    <w:name w:val="heading 2"/>
    <w:basedOn w:val="1"/>
    <w:next w:val="1"/>
    <w:unhideWhenUsed/>
    <w:qFormat/>
    <w:uiPriority w:val="0"/>
    <w:pPr>
      <w:keepNext/>
      <w:keepLines/>
      <w:spacing w:line="360" w:lineRule="auto"/>
      <w:outlineLvl w:val="1"/>
    </w:pPr>
    <w:rPr>
      <w:rFonts w:ascii="Arial" w:hAnsi="Arial" w:eastAsia="黑体"/>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22"/>
    <w:qFormat/>
    <w:uiPriority w:val="0"/>
    <w:pPr>
      <w:ind w:firstLine="567"/>
    </w:pPr>
  </w:style>
  <w:style w:type="paragraph" w:styleId="5">
    <w:name w:val="annotation text"/>
    <w:basedOn w:val="1"/>
    <w:link w:val="28"/>
    <w:qFormat/>
    <w:uiPriority w:val="0"/>
    <w:pPr>
      <w:jc w:val="left"/>
    </w:pPr>
  </w:style>
  <w:style w:type="paragraph" w:styleId="6">
    <w:name w:val="Balloon Text"/>
    <w:basedOn w:val="1"/>
    <w:link w:val="31"/>
    <w:qFormat/>
    <w:uiPriority w:val="0"/>
    <w:pPr>
      <w:spacing w:line="240" w:lineRule="auto"/>
    </w:pPr>
    <w:rPr>
      <w:sz w:val="18"/>
      <w:szCs w:val="18"/>
    </w:rPr>
  </w:style>
  <w:style w:type="paragraph" w:styleId="7">
    <w:name w:val="footer"/>
    <w:basedOn w:val="1"/>
    <w:link w:val="23"/>
    <w:qFormat/>
    <w:uiPriority w:val="99"/>
    <w:pPr>
      <w:tabs>
        <w:tab w:val="center" w:pos="4153"/>
        <w:tab w:val="right" w:pos="8306"/>
      </w:tabs>
      <w:jc w:val="left"/>
    </w:pPr>
    <w:rPr>
      <w:sz w:val="18"/>
    </w:rPr>
  </w:style>
  <w:style w:type="paragraph" w:styleId="8">
    <w:name w:val="header"/>
    <w:basedOn w:val="1"/>
    <w:link w:val="26"/>
    <w:qFormat/>
    <w:uiPriority w:val="0"/>
    <w:pPr>
      <w:pBdr>
        <w:bottom w:val="single" w:color="auto" w:sz="6" w:space="1"/>
      </w:pBdr>
      <w:tabs>
        <w:tab w:val="center" w:pos="4153"/>
        <w:tab w:val="right" w:pos="8306"/>
      </w:tabs>
      <w:jc w:val="center"/>
    </w:pPr>
    <w:rPr>
      <w:sz w:val="18"/>
      <w:szCs w:val="18"/>
    </w:r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paragraph" w:styleId="11">
    <w:name w:val="Normal (Web)"/>
    <w:basedOn w:val="1"/>
    <w:qFormat/>
    <w:uiPriority w:val="0"/>
    <w:pPr>
      <w:spacing w:before="100" w:beforeAutospacing="1" w:after="100" w:afterAutospacing="1"/>
      <w:ind w:left="0" w:right="0"/>
      <w:jc w:val="left"/>
    </w:pPr>
    <w:rPr>
      <w:kern w:val="0"/>
      <w:sz w:val="24"/>
    </w:rPr>
  </w:style>
  <w:style w:type="paragraph" w:styleId="12">
    <w:name w:val="annotation subject"/>
    <w:basedOn w:val="5"/>
    <w:next w:val="5"/>
    <w:link w:val="29"/>
    <w:qFormat/>
    <w:uiPriority w:val="0"/>
    <w:rPr>
      <w:b/>
      <w:bCs/>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0"/>
    <w:rPr>
      <w:rFonts w:hint="eastAsia" w:ascii="微软雅黑" w:hAnsi="微软雅黑" w:eastAsia="微软雅黑" w:cs="微软雅黑"/>
      <w:b/>
      <w:color w:val="333333"/>
    </w:rPr>
  </w:style>
  <w:style w:type="character" w:styleId="17">
    <w:name w:val="page number"/>
    <w:basedOn w:val="15"/>
    <w:qFormat/>
    <w:uiPriority w:val="0"/>
  </w:style>
  <w:style w:type="character" w:styleId="18">
    <w:name w:val="Hyperlink"/>
    <w:basedOn w:val="15"/>
    <w:qFormat/>
    <w:uiPriority w:val="99"/>
    <w:rPr>
      <w:rFonts w:cs="Times New Roman"/>
      <w:color w:val="0000FF"/>
      <w:u w:val="single"/>
    </w:rPr>
  </w:style>
  <w:style w:type="character" w:styleId="19">
    <w:name w:val="annotation reference"/>
    <w:qFormat/>
    <w:uiPriority w:val="0"/>
    <w:rPr>
      <w:sz w:val="21"/>
      <w:szCs w:val="21"/>
    </w:rPr>
  </w:style>
  <w:style w:type="paragraph" w:customStyle="1" w:styleId="20">
    <w:name w:val="Table Paragraph"/>
    <w:basedOn w:val="1"/>
    <w:qFormat/>
    <w:uiPriority w:val="1"/>
  </w:style>
  <w:style w:type="character" w:customStyle="1" w:styleId="21">
    <w:name w:val="标题 1 Char"/>
    <w:basedOn w:val="15"/>
    <w:link w:val="3"/>
    <w:qFormat/>
    <w:uiPriority w:val="0"/>
    <w:rPr>
      <w:rFonts w:eastAsia="仿宋_GB2312"/>
      <w:b/>
      <w:bCs/>
      <w:kern w:val="44"/>
      <w:sz w:val="44"/>
      <w:szCs w:val="44"/>
    </w:rPr>
  </w:style>
  <w:style w:type="character" w:customStyle="1" w:styleId="22">
    <w:name w:val="正文缩进 Char"/>
    <w:link w:val="2"/>
    <w:qFormat/>
    <w:uiPriority w:val="0"/>
    <w:rPr>
      <w:rFonts w:eastAsia="仿宋_GB2312"/>
      <w:kern w:val="2"/>
      <w:sz w:val="21"/>
      <w:szCs w:val="24"/>
    </w:rPr>
  </w:style>
  <w:style w:type="character" w:customStyle="1" w:styleId="23">
    <w:name w:val="页脚 Char"/>
    <w:link w:val="7"/>
    <w:qFormat/>
    <w:uiPriority w:val="99"/>
    <w:rPr>
      <w:rFonts w:eastAsia="仿宋_GB2312"/>
      <w:kern w:val="2"/>
      <w:sz w:val="18"/>
      <w:szCs w:val="24"/>
    </w:rPr>
  </w:style>
  <w:style w:type="paragraph" w:customStyle="1" w:styleId="24">
    <w:name w:val="TOC 标题1"/>
    <w:basedOn w:val="3"/>
    <w:next w:val="1"/>
    <w:unhideWhenUsed/>
    <w:qFormat/>
    <w:uiPriority w:val="39"/>
    <w:pPr>
      <w:widowControl/>
      <w:adjustRightInd/>
      <w:snapToGrid/>
      <w:spacing w:before="240" w:after="0" w:line="259" w:lineRule="auto"/>
      <w:ind w:left="0" w:leftChars="0" w:right="0" w:rightChars="0"/>
      <w:jc w:val="left"/>
      <w:outlineLvl w:val="9"/>
    </w:pPr>
    <w:rPr>
      <w:rFonts w:ascii="Cambria" w:hAnsi="Cambria" w:eastAsia="宋体"/>
      <w:b w:val="0"/>
      <w:bCs w:val="0"/>
      <w:color w:val="366091"/>
      <w:kern w:val="0"/>
      <w:sz w:val="32"/>
      <w:szCs w:val="32"/>
    </w:rPr>
  </w:style>
  <w:style w:type="paragraph" w:customStyle="1" w:styleId="25">
    <w:name w:val="_Style 98"/>
    <w:basedOn w:val="1"/>
    <w:next w:val="1"/>
    <w:qFormat/>
    <w:uiPriority w:val="39"/>
  </w:style>
  <w:style w:type="character" w:customStyle="1" w:styleId="26">
    <w:name w:val="页眉 Char"/>
    <w:basedOn w:val="15"/>
    <w:link w:val="8"/>
    <w:qFormat/>
    <w:uiPriority w:val="0"/>
    <w:rPr>
      <w:rFonts w:eastAsia="仿宋_GB2312"/>
      <w:kern w:val="2"/>
      <w:sz w:val="18"/>
      <w:szCs w:val="18"/>
    </w:rPr>
  </w:style>
  <w:style w:type="paragraph" w:styleId="27">
    <w:name w:val="List Paragraph"/>
    <w:basedOn w:val="1"/>
    <w:qFormat/>
    <w:uiPriority w:val="99"/>
    <w:pPr>
      <w:ind w:firstLine="420" w:firstLineChars="200"/>
    </w:pPr>
  </w:style>
  <w:style w:type="character" w:customStyle="1" w:styleId="28">
    <w:name w:val="批注文字 Char"/>
    <w:basedOn w:val="15"/>
    <w:link w:val="5"/>
    <w:qFormat/>
    <w:uiPriority w:val="0"/>
    <w:rPr>
      <w:rFonts w:eastAsia="仿宋_GB2312"/>
      <w:kern w:val="2"/>
      <w:sz w:val="21"/>
      <w:szCs w:val="24"/>
    </w:rPr>
  </w:style>
  <w:style w:type="character" w:customStyle="1" w:styleId="29">
    <w:name w:val="批注主题 Char"/>
    <w:basedOn w:val="28"/>
    <w:link w:val="12"/>
    <w:qFormat/>
    <w:uiPriority w:val="0"/>
    <w:rPr>
      <w:rFonts w:eastAsia="仿宋_GB2312"/>
      <w:b/>
      <w:bCs/>
      <w:kern w:val="2"/>
      <w:sz w:val="21"/>
      <w:szCs w:val="24"/>
    </w:rPr>
  </w:style>
  <w:style w:type="paragraph" w:customStyle="1" w:styleId="30">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character" w:customStyle="1" w:styleId="31">
    <w:name w:val="批注框文本 Char"/>
    <w:basedOn w:val="15"/>
    <w:link w:val="6"/>
    <w:qFormat/>
    <w:uiPriority w:val="0"/>
    <w:rPr>
      <w:rFonts w:eastAsia="仿宋_GB2312"/>
      <w:kern w:val="2"/>
      <w:sz w:val="18"/>
      <w:szCs w:val="18"/>
    </w:rPr>
  </w:style>
  <w:style w:type="paragraph" w:customStyle="1" w:styleId="32">
    <w:name w:val="00正文内容"/>
    <w:link w:val="33"/>
    <w:qFormat/>
    <w:uiPriority w:val="0"/>
    <w:pPr>
      <w:spacing w:line="500" w:lineRule="exact"/>
      <w:ind w:firstLine="200" w:firstLineChars="200"/>
      <w:jc w:val="both"/>
    </w:pPr>
    <w:rPr>
      <w:rFonts w:ascii="Times New Roman" w:hAnsi="Times New Roman" w:eastAsia="宋体" w:cs="Times New Roman"/>
      <w:color w:val="000000"/>
      <w:kern w:val="2"/>
      <w:sz w:val="24"/>
      <w:szCs w:val="28"/>
      <w:lang w:val="en-US" w:eastAsia="zh-CN" w:bidi="ar-SA"/>
    </w:rPr>
  </w:style>
  <w:style w:type="character" w:customStyle="1" w:styleId="33">
    <w:name w:val="00正文内容 字符"/>
    <w:link w:val="32"/>
    <w:qFormat/>
    <w:uiPriority w:val="0"/>
    <w:rPr>
      <w:color w:val="000000"/>
      <w:kern w:val="2"/>
      <w:sz w:val="24"/>
      <w:szCs w:val="28"/>
    </w:rPr>
  </w:style>
  <w:style w:type="paragraph" w:customStyle="1" w:styleId="34">
    <w:name w:val="修订1"/>
    <w:hidden/>
    <w:semiHidden/>
    <w:qFormat/>
    <w:uiPriority w:val="99"/>
    <w:rPr>
      <w:rFonts w:ascii="Times New Roman" w:hAnsi="Times New Roman" w:eastAsia="仿宋_GB2312" w:cs="Times New Roman"/>
      <w:kern w:val="2"/>
      <w:sz w:val="21"/>
      <w:szCs w:val="24"/>
      <w:lang w:val="en-US" w:eastAsia="zh-CN" w:bidi="ar-SA"/>
    </w:rPr>
  </w:style>
  <w:style w:type="paragraph" w:customStyle="1" w:styleId="35">
    <w:name w:val="修订2"/>
    <w:hidden/>
    <w:semiHidden/>
    <w:qFormat/>
    <w:uiPriority w:val="99"/>
    <w:rPr>
      <w:rFonts w:ascii="Times New Roman" w:hAnsi="Times New Roman" w:eastAsia="仿宋_GB2312" w:cs="Times New Roman"/>
      <w:kern w:val="2"/>
      <w:sz w:val="21"/>
      <w:szCs w:val="24"/>
      <w:lang w:val="en-US" w:eastAsia="zh-CN" w:bidi="ar-SA"/>
    </w:rPr>
  </w:style>
  <w:style w:type="paragraph" w:customStyle="1" w:styleId="36">
    <w:name w:val="修订3"/>
    <w:hidden/>
    <w:semiHidden/>
    <w:qFormat/>
    <w:uiPriority w:val="99"/>
    <w:rPr>
      <w:rFonts w:ascii="Times New Roman" w:hAnsi="Times New Roman" w:eastAsia="仿宋_GB2312" w:cs="Times New Roman"/>
      <w:kern w:val="2"/>
      <w:sz w:val="21"/>
      <w:szCs w:val="24"/>
      <w:lang w:val="en-US" w:eastAsia="zh-CN" w:bidi="ar-SA"/>
    </w:rPr>
  </w:style>
  <w:style w:type="paragraph" w:customStyle="1" w:styleId="37">
    <w:name w:val="修订4"/>
    <w:hidden/>
    <w:semiHidden/>
    <w:qFormat/>
    <w:uiPriority w:val="99"/>
    <w:rPr>
      <w:rFonts w:ascii="Times New Roman" w:hAnsi="Times New Roman" w:eastAsia="仿宋_GB2312" w:cs="Times New Roman"/>
      <w:kern w:val="2"/>
      <w:sz w:val="21"/>
      <w:szCs w:val="24"/>
      <w:lang w:val="en-US" w:eastAsia="zh-CN" w:bidi="ar-SA"/>
    </w:rPr>
  </w:style>
  <w:style w:type="paragraph" w:customStyle="1" w:styleId="38">
    <w:name w:val="Revision"/>
    <w:hidden/>
    <w:unhideWhenUsed/>
    <w:qFormat/>
    <w:uiPriority w:val="99"/>
    <w:rPr>
      <w:rFonts w:ascii="Times New Roman" w:hAnsi="Times New Roman" w:eastAsia="仿宋_GB2312"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189</Pages>
  <Words>27171</Words>
  <Characters>154881</Characters>
  <Lines>1290</Lines>
  <Paragraphs>363</Paragraphs>
  <TotalTime>10</TotalTime>
  <ScaleCrop>false</ScaleCrop>
  <LinksUpToDate>false</LinksUpToDate>
  <CharactersWithSpaces>181689</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2023-12-08T12:49:00Z</dcterms:created>
  <dc:creator>juzi</dc:creator>
  <cp:lastModifiedBy>kylin</cp:lastModifiedBy>
  <cp:lastPrinted>2023-08-09T12:56:00Z</cp:lastPrinted>
  <dcterms:modified xsi:type="dcterms:W3CDTF">2025-06-24T17:07:36Z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D516A981876E45D9ABC7E21D8F16DB30_13</vt:lpwstr>
  </property>
</Properties>
</file>