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2AF9B95">
      <w:pPr>
        <w:pStyle w:val="6"/>
        <w:keepNext w:val="0"/>
        <w:keepLines w:val="0"/>
        <w:pageBreakBefore w:val="0"/>
        <w:widowControl w:val="0"/>
        <w:kinsoku/>
        <w:wordWrap/>
        <w:overflowPunct/>
        <w:topLinePunct w:val="0"/>
        <w:autoSpaceDE/>
        <w:autoSpaceDN/>
        <w:bidi w:val="0"/>
        <w:adjustRightInd w:val="0"/>
        <w:snapToGrid w:val="0"/>
        <w:ind w:left="0" w:leftChars="0" w:firstLine="0" w:firstLineChars="0"/>
        <w:jc w:val="center"/>
        <w:textAlignment w:val="auto"/>
        <w:rPr>
          <w:rFonts w:hint="eastAsia" w:ascii="方正小标宋简体" w:hAnsi="方正小标宋简体" w:eastAsia="方正小标宋简体" w:cs="方正小标宋简体"/>
          <w:b w:val="0"/>
          <w:bCs w:val="0"/>
          <w:color w:val="auto"/>
          <w:sz w:val="44"/>
          <w:szCs w:val="44"/>
          <w:lang w:val="en-US" w:eastAsia="zh-CN"/>
        </w:rPr>
      </w:pPr>
      <w:r>
        <w:rPr>
          <w:rFonts w:hint="eastAsia" w:ascii="方正小标宋简体" w:hAnsi="方正小标宋简体" w:eastAsia="方正小标宋简体" w:cs="方正小标宋简体"/>
          <w:b w:val="0"/>
          <w:bCs w:val="0"/>
          <w:color w:val="auto"/>
          <w:sz w:val="44"/>
          <w:szCs w:val="44"/>
          <w:lang w:val="en-US" w:eastAsia="zh-CN"/>
        </w:rPr>
        <w:t>根河</w:t>
      </w:r>
      <w:r>
        <w:rPr>
          <w:rFonts w:hint="eastAsia" w:ascii="方正小标宋简体" w:hAnsi="方正小标宋简体" w:eastAsia="方正小标宋简体" w:cs="方正小标宋简体"/>
          <w:b w:val="0"/>
          <w:bCs w:val="0"/>
          <w:color w:val="auto"/>
          <w:sz w:val="44"/>
          <w:szCs w:val="44"/>
          <w:lang w:val="en-US" w:eastAsia="zh-CN"/>
        </w:rPr>
        <w:t>市</w:t>
      </w:r>
      <w:r>
        <w:rPr>
          <w:rFonts w:hint="eastAsia" w:ascii="方正小标宋简体" w:hAnsi="方正小标宋简体" w:eastAsia="方正小标宋简体" w:cs="方正小标宋简体"/>
          <w:b w:val="0"/>
          <w:bCs w:val="0"/>
          <w:color w:val="auto"/>
          <w:sz w:val="44"/>
          <w:szCs w:val="44"/>
          <w:lang w:val="en-US" w:eastAsia="zh-CN"/>
        </w:rPr>
        <w:t>呼伦贝尔山金矿业有限公司“5·6”病亡</w:t>
      </w:r>
      <w:r>
        <w:rPr>
          <w:rFonts w:hint="eastAsia" w:ascii="方正小标宋简体" w:hAnsi="方正小标宋简体" w:eastAsia="方正小标宋简体" w:cs="方正小标宋简体"/>
          <w:b w:val="0"/>
          <w:bCs w:val="0"/>
          <w:color w:val="auto"/>
          <w:sz w:val="44"/>
          <w:szCs w:val="44"/>
          <w:lang w:val="en-US" w:eastAsia="zh-CN"/>
        </w:rPr>
        <w:t>事故调查报告</w:t>
      </w:r>
    </w:p>
    <w:p w14:paraId="22C0178D">
      <w:pPr>
        <w:keepNext w:val="0"/>
        <w:keepLines w:val="0"/>
        <w:pageBreakBefore w:val="0"/>
        <w:widowControl w:val="0"/>
        <w:kinsoku/>
        <w:wordWrap/>
        <w:overflowPunct/>
        <w:topLinePunct w:val="0"/>
        <w:autoSpaceDE/>
        <w:autoSpaceDN/>
        <w:bidi w:val="0"/>
        <w:adjustRightInd/>
        <w:snapToGrid w:val="0"/>
        <w:spacing w:line="560" w:lineRule="exact"/>
        <w:ind w:firstLine="640" w:firstLineChars="200"/>
        <w:jc w:val="both"/>
        <w:textAlignment w:val="auto"/>
        <w:rPr>
          <w:rFonts w:hint="eastAsia" w:ascii="仿宋_GB2312" w:hAnsi="仿宋_GB2312" w:eastAsia="仿宋_GB2312" w:cs="仿宋_GB2312"/>
          <w:color w:val="auto"/>
          <w:kern w:val="2"/>
          <w:sz w:val="32"/>
          <w:szCs w:val="32"/>
          <w:highlight w:val="none"/>
          <w:lang w:val="en-US" w:eastAsia="zh-CN" w:bidi="ar-SA"/>
        </w:rPr>
      </w:pPr>
      <w:bookmarkStart w:id="3" w:name="_GoBack"/>
      <w:bookmarkEnd w:id="3"/>
      <w:r>
        <w:rPr>
          <w:rFonts w:hint="eastAsia" w:ascii="仿宋_GB2312" w:hAnsi="仿宋_GB2312" w:eastAsia="仿宋_GB2312" w:cs="仿宋_GB2312"/>
          <w:sz w:val="32"/>
          <w:szCs w:val="32"/>
          <w:lang w:val="en-US" w:eastAsia="zh-CN"/>
        </w:rPr>
        <w:t>2025年5月6日10时20分</w:t>
      </w:r>
      <w:r>
        <w:rPr>
          <w:rFonts w:hint="eastAsia" w:ascii="仿宋_GB2312" w:hAnsi="仿宋_GB2312" w:eastAsia="仿宋_GB2312" w:cs="仿宋_GB2312"/>
          <w:color w:val="auto"/>
          <w:sz w:val="32"/>
          <w:szCs w:val="32"/>
          <w:highlight w:val="none"/>
        </w:rPr>
        <w:t>许</w:t>
      </w:r>
      <w:r>
        <w:rPr>
          <w:rFonts w:hint="eastAsia" w:ascii="仿宋_GB2312" w:hAnsi="仿宋_GB2312" w:eastAsia="仿宋_GB2312" w:cs="仿宋_GB2312"/>
          <w:color w:val="auto"/>
          <w:sz w:val="32"/>
          <w:szCs w:val="32"/>
          <w:highlight w:val="none"/>
          <w:lang w:eastAsia="zh-CN"/>
        </w:rPr>
        <w:t>，</w:t>
      </w:r>
      <w:r>
        <w:rPr>
          <w:rFonts w:hint="eastAsia" w:ascii="仿宋_GB2312" w:hAnsi="仿宋_GB2312" w:eastAsia="仿宋_GB2312" w:cs="仿宋_GB2312"/>
          <w:color w:val="auto"/>
          <w:sz w:val="32"/>
          <w:szCs w:val="32"/>
          <w:highlight w:val="none"/>
          <w:lang w:val="en-US" w:eastAsia="zh-CN"/>
        </w:rPr>
        <w:t>根河市</w:t>
      </w:r>
      <w:r>
        <w:rPr>
          <w:rFonts w:hint="eastAsia" w:ascii="仿宋_GB2312" w:hAnsi="仿宋_GB2312" w:eastAsia="仿宋_GB2312" w:cs="仿宋_GB2312"/>
          <w:kern w:val="2"/>
          <w:sz w:val="32"/>
          <w:szCs w:val="32"/>
          <w:lang w:val="en-US" w:eastAsia="zh-CN" w:bidi="ar-SA"/>
        </w:rPr>
        <w:t>呼伦贝尔山金矿业有限公司</w:t>
      </w:r>
      <w:r>
        <w:rPr>
          <w:rFonts w:hint="eastAsia" w:ascii="仿宋_GB2312" w:hAnsi="仿宋_GB2312" w:eastAsia="仿宋_GB2312" w:cs="仿宋_GB2312"/>
          <w:sz w:val="32"/>
          <w:szCs w:val="32"/>
          <w:lang w:val="en-US" w:eastAsia="zh-CN"/>
        </w:rPr>
        <w:t>四采区三中段301采场发生一起</w:t>
      </w:r>
      <w:r>
        <w:rPr>
          <w:rFonts w:hint="default" w:ascii="仿宋_GB2312" w:hAnsi="仿宋_GB2312" w:eastAsia="仿宋_GB2312" w:cs="仿宋_GB2312"/>
          <w:sz w:val="32"/>
          <w:szCs w:val="32"/>
          <w:lang w:val="en-US" w:eastAsia="zh-CN"/>
        </w:rPr>
        <w:t>事故，完成1人死亡</w:t>
      </w:r>
      <w:r>
        <w:rPr>
          <w:rFonts w:hint="eastAsia" w:ascii="仿宋_GB2312" w:hAnsi="仿宋_GB2312" w:eastAsia="仿宋_GB2312" w:cs="仿宋_GB2312"/>
          <w:sz w:val="32"/>
          <w:szCs w:val="32"/>
          <w:lang w:val="en-US" w:eastAsia="zh-CN"/>
        </w:rPr>
        <w:t>。</w:t>
      </w:r>
    </w:p>
    <w:p w14:paraId="3B7C27CB">
      <w:pPr>
        <w:keepNext w:val="0"/>
        <w:keepLines w:val="0"/>
        <w:pageBreakBefore w:val="0"/>
        <w:widowControl w:val="0"/>
        <w:kinsoku/>
        <w:wordWrap/>
        <w:overflowPunct/>
        <w:topLinePunct w:val="0"/>
        <w:autoSpaceDE/>
        <w:autoSpaceDN/>
        <w:bidi w:val="0"/>
        <w:adjustRightInd/>
        <w:snapToGrid w:val="0"/>
        <w:spacing w:line="560" w:lineRule="exact"/>
        <w:ind w:firstLine="640" w:firstLineChars="200"/>
        <w:jc w:val="both"/>
        <w:textAlignment w:val="auto"/>
        <w:rPr>
          <w:rFonts w:hint="eastAsia" w:ascii="仿宋_GB2312" w:hAnsi="仿宋_GB2312" w:eastAsia="仿宋_GB2312" w:cs="仿宋_GB2312"/>
          <w:color w:val="auto"/>
          <w:kern w:val="2"/>
          <w:sz w:val="32"/>
          <w:szCs w:val="32"/>
          <w:highlight w:val="none"/>
          <w:lang w:val="en-US" w:eastAsia="zh-CN" w:bidi="ar-SA"/>
        </w:rPr>
      </w:pPr>
      <w:r>
        <w:rPr>
          <w:rFonts w:hint="eastAsia" w:ascii="仿宋_GB2312" w:hAnsi="仿宋_GB2312" w:eastAsia="仿宋_GB2312" w:cs="仿宋_GB2312"/>
          <w:color w:val="auto"/>
          <w:kern w:val="2"/>
          <w:sz w:val="32"/>
          <w:szCs w:val="32"/>
          <w:lang w:val="en-US" w:eastAsia="zh-CN" w:bidi="ar-SA"/>
        </w:rPr>
        <w:t>依据《中华人民共和国安全生产法》《生产安全事故报告和调查处理条例》（国务院令第493号）和《国家矿山安全监察局关于印发矿山生产安全事故报告和调查处理办法的通知》（矿安〔2023〕7号）等有关法律法规的规定</w:t>
      </w:r>
      <w:r>
        <w:rPr>
          <w:rFonts w:hint="eastAsia" w:ascii="仿宋" w:hAnsi="仿宋" w:eastAsia="仿宋" w:cs="仿宋"/>
          <w:color w:val="auto"/>
          <w:kern w:val="2"/>
          <w:sz w:val="32"/>
          <w:szCs w:val="32"/>
          <w:lang w:val="en-US" w:eastAsia="zh-CN" w:bidi="ar-SA"/>
        </w:rPr>
        <w:t>，</w:t>
      </w:r>
      <w:r>
        <w:rPr>
          <w:rFonts w:hint="eastAsia" w:ascii="仿宋" w:hAnsi="仿宋" w:cs="仿宋"/>
          <w:color w:val="auto"/>
          <w:kern w:val="2"/>
          <w:sz w:val="32"/>
          <w:szCs w:val="32"/>
          <w:lang w:val="en-US" w:eastAsia="zh-CN" w:bidi="ar-SA"/>
        </w:rPr>
        <w:t>根河市人民政府</w:t>
      </w:r>
      <w:r>
        <w:rPr>
          <w:rFonts w:hint="eastAsia" w:ascii="仿宋" w:hAnsi="仿宋" w:eastAsia="仿宋" w:cs="仿宋"/>
          <w:color w:val="auto"/>
          <w:kern w:val="2"/>
          <w:sz w:val="32"/>
          <w:szCs w:val="32"/>
          <w:lang w:val="en-US" w:eastAsia="zh-CN" w:bidi="ar-SA"/>
        </w:rPr>
        <w:t>迅速启动联合调查机制，成立</w:t>
      </w:r>
      <w:r>
        <w:rPr>
          <w:rFonts w:hint="eastAsia" w:ascii="仿宋_GB2312" w:hAnsi="仿宋_GB2312" w:eastAsia="仿宋_GB2312" w:cs="仿宋_GB2312"/>
          <w:kern w:val="2"/>
          <w:sz w:val="32"/>
          <w:szCs w:val="32"/>
          <w:lang w:val="en-US" w:eastAsia="zh-CN" w:bidi="ar-SA"/>
        </w:rPr>
        <w:t>呼伦贝尔山金矿业有限公司</w:t>
      </w:r>
      <w:r>
        <w:rPr>
          <w:rFonts w:hint="eastAsia" w:ascii="仿宋" w:hAnsi="仿宋" w:cs="仿宋"/>
          <w:color w:val="auto"/>
          <w:kern w:val="2"/>
          <w:sz w:val="32"/>
          <w:szCs w:val="32"/>
          <w:lang w:val="en-US" w:eastAsia="zh-CN" w:bidi="ar-SA"/>
        </w:rPr>
        <w:t>“5·6”</w:t>
      </w:r>
      <w:r>
        <w:rPr>
          <w:rFonts w:hint="default" w:ascii="仿宋" w:hAnsi="仿宋" w:cs="仿宋"/>
          <w:color w:val="auto"/>
          <w:kern w:val="2"/>
          <w:sz w:val="32"/>
          <w:szCs w:val="32"/>
          <w:lang w:val="en-US" w:eastAsia="zh-CN" w:bidi="ar-SA"/>
        </w:rPr>
        <w:t>事故</w:t>
      </w:r>
      <w:r>
        <w:rPr>
          <w:rFonts w:hint="eastAsia" w:ascii="仿宋" w:hAnsi="仿宋" w:eastAsia="仿宋" w:cs="仿宋"/>
          <w:color w:val="auto"/>
          <w:kern w:val="2"/>
          <w:sz w:val="32"/>
          <w:szCs w:val="32"/>
          <w:lang w:val="en-US" w:eastAsia="zh-CN" w:bidi="ar-SA"/>
        </w:rPr>
        <w:t>调查组（以下简称</w:t>
      </w:r>
      <w:r>
        <w:rPr>
          <w:rFonts w:hint="default" w:ascii="仿宋" w:hAnsi="仿宋" w:eastAsia="仿宋" w:cs="仿宋"/>
          <w:color w:val="auto"/>
          <w:kern w:val="2"/>
          <w:sz w:val="32"/>
          <w:szCs w:val="32"/>
          <w:lang w:val="en-US" w:eastAsia="zh-CN" w:bidi="ar-SA"/>
        </w:rPr>
        <w:t>事故</w:t>
      </w:r>
      <w:r>
        <w:rPr>
          <w:rFonts w:hint="eastAsia" w:ascii="仿宋" w:hAnsi="仿宋" w:eastAsia="仿宋" w:cs="仿宋"/>
          <w:color w:val="auto"/>
          <w:kern w:val="2"/>
          <w:sz w:val="32"/>
          <w:szCs w:val="32"/>
          <w:lang w:val="en-US" w:eastAsia="zh-CN" w:bidi="ar-SA"/>
        </w:rPr>
        <w:t>调</w:t>
      </w:r>
      <w:r>
        <w:rPr>
          <w:rFonts w:hint="eastAsia" w:ascii="仿宋_GB2312" w:eastAsia="仿宋_GB2312"/>
          <w:b w:val="0"/>
          <w:bCs w:val="0"/>
          <w:color w:val="auto"/>
          <w:sz w:val="32"/>
          <w:szCs w:val="32"/>
          <w:lang w:val="en-US" w:eastAsia="zh-CN"/>
        </w:rPr>
        <w:t>查组），</w:t>
      </w:r>
      <w:r>
        <w:rPr>
          <w:rFonts w:hint="default" w:ascii="仿宋_GB2312" w:eastAsia="仿宋_GB2312"/>
          <w:b w:val="0"/>
          <w:bCs w:val="0"/>
          <w:color w:val="auto"/>
          <w:sz w:val="32"/>
          <w:szCs w:val="32"/>
          <w:lang w:val="en-US" w:eastAsia="zh-CN"/>
        </w:rPr>
        <w:t>事故</w:t>
      </w:r>
      <w:r>
        <w:rPr>
          <w:rFonts w:hint="eastAsia" w:ascii="仿宋_GB2312" w:eastAsia="仿宋_GB2312"/>
          <w:b w:val="0"/>
          <w:bCs w:val="0"/>
          <w:color w:val="auto"/>
          <w:sz w:val="32"/>
          <w:szCs w:val="32"/>
          <w:lang w:val="en-US" w:eastAsia="zh-CN"/>
        </w:rPr>
        <w:t>调查组</w:t>
      </w:r>
      <w:r>
        <w:rPr>
          <w:rFonts w:hint="eastAsia" w:ascii="仿宋_GB2312" w:eastAsia="仿宋_GB2312"/>
          <w:b w:val="0"/>
          <w:bCs w:val="0"/>
          <w:color w:val="auto"/>
          <w:sz w:val="32"/>
          <w:szCs w:val="32"/>
        </w:rPr>
        <w:t>由</w:t>
      </w:r>
      <w:r>
        <w:rPr>
          <w:rFonts w:hint="eastAsia" w:ascii="仿宋_GB2312" w:eastAsia="仿宋_GB2312"/>
          <w:b w:val="0"/>
          <w:bCs w:val="0"/>
          <w:color w:val="auto"/>
          <w:sz w:val="32"/>
          <w:szCs w:val="32"/>
          <w:lang w:eastAsia="zh-CN"/>
        </w:rPr>
        <w:t>市人民政府、</w:t>
      </w:r>
      <w:r>
        <w:rPr>
          <w:rFonts w:hint="eastAsia" w:ascii="仿宋_GB2312" w:eastAsia="仿宋_GB2312"/>
          <w:b w:val="0"/>
          <w:bCs w:val="0"/>
          <w:color w:val="auto"/>
          <w:sz w:val="32"/>
          <w:szCs w:val="32"/>
        </w:rPr>
        <w:t>市</w:t>
      </w:r>
      <w:r>
        <w:rPr>
          <w:rFonts w:hint="eastAsia" w:ascii="仿宋_GB2312" w:eastAsia="仿宋_GB2312"/>
          <w:b w:val="0"/>
          <w:bCs w:val="0"/>
          <w:color w:val="auto"/>
          <w:sz w:val="32"/>
          <w:szCs w:val="32"/>
          <w:lang w:eastAsia="zh-CN"/>
        </w:rPr>
        <w:t>应急管理局</w:t>
      </w:r>
      <w:r>
        <w:rPr>
          <w:rFonts w:hint="eastAsia" w:ascii="仿宋_GB2312" w:eastAsia="仿宋_GB2312"/>
          <w:b w:val="0"/>
          <w:bCs w:val="0"/>
          <w:color w:val="auto"/>
          <w:sz w:val="32"/>
          <w:szCs w:val="32"/>
        </w:rPr>
        <w:t>、得耳布尔镇政府</w:t>
      </w:r>
      <w:r>
        <w:rPr>
          <w:rFonts w:hint="eastAsia" w:ascii="仿宋_GB2312" w:eastAsia="仿宋_GB2312"/>
          <w:b w:val="0"/>
          <w:bCs w:val="0"/>
          <w:color w:val="auto"/>
          <w:sz w:val="32"/>
          <w:szCs w:val="32"/>
          <w:lang w:eastAsia="zh-CN"/>
        </w:rPr>
        <w:t>、</w:t>
      </w:r>
      <w:r>
        <w:rPr>
          <w:rFonts w:hint="eastAsia" w:ascii="仿宋_GB2312" w:eastAsia="仿宋_GB2312"/>
          <w:b w:val="0"/>
          <w:bCs w:val="0"/>
          <w:color w:val="auto"/>
          <w:sz w:val="32"/>
          <w:szCs w:val="32"/>
          <w:lang w:val="en-US" w:eastAsia="zh-CN"/>
        </w:rPr>
        <w:t>市公安局、市卫生健康委员会、</w:t>
      </w:r>
      <w:r>
        <w:rPr>
          <w:rFonts w:hint="eastAsia" w:ascii="仿宋_GB2312" w:eastAsia="仿宋_GB2312"/>
          <w:b w:val="0"/>
          <w:bCs w:val="0"/>
          <w:color w:val="auto"/>
          <w:sz w:val="32"/>
          <w:szCs w:val="32"/>
        </w:rPr>
        <w:t>市总工会</w:t>
      </w:r>
      <w:r>
        <w:rPr>
          <w:rFonts w:hint="eastAsia" w:ascii="仿宋_GB2312" w:eastAsia="仿宋_GB2312"/>
          <w:b w:val="0"/>
          <w:bCs w:val="0"/>
          <w:color w:val="auto"/>
          <w:sz w:val="32"/>
          <w:szCs w:val="32"/>
          <w:lang w:eastAsia="zh-CN"/>
        </w:rPr>
        <w:t>等</w:t>
      </w:r>
      <w:r>
        <w:rPr>
          <w:rFonts w:hint="eastAsia" w:ascii="仿宋_GB2312" w:eastAsia="仿宋_GB2312"/>
          <w:b w:val="0"/>
          <w:bCs w:val="0"/>
          <w:color w:val="auto"/>
          <w:sz w:val="32"/>
          <w:szCs w:val="32"/>
          <w:lang w:val="en-US" w:eastAsia="zh-CN"/>
        </w:rPr>
        <w:t>派人组成，同时邀请市纪委监委派员参加，对该起</w:t>
      </w:r>
      <w:r>
        <w:rPr>
          <w:rFonts w:hint="default" w:ascii="仿宋_GB2312" w:eastAsia="仿宋_GB2312"/>
          <w:b w:val="0"/>
          <w:bCs w:val="0"/>
          <w:color w:val="auto"/>
          <w:sz w:val="32"/>
          <w:szCs w:val="32"/>
          <w:lang w:val="en-US" w:eastAsia="zh-CN"/>
        </w:rPr>
        <w:t>事故</w:t>
      </w:r>
      <w:r>
        <w:rPr>
          <w:rFonts w:hint="eastAsia" w:ascii="仿宋_GB2312" w:eastAsia="仿宋_GB2312"/>
          <w:b w:val="0"/>
          <w:bCs w:val="0"/>
          <w:color w:val="auto"/>
          <w:sz w:val="32"/>
          <w:szCs w:val="32"/>
          <w:lang w:val="en-US" w:eastAsia="zh-CN"/>
        </w:rPr>
        <w:t>展开调查。</w:t>
      </w:r>
    </w:p>
    <w:p w14:paraId="0FD7257A">
      <w:pPr>
        <w:pStyle w:val="6"/>
        <w:keepNext w:val="0"/>
        <w:keepLines w:val="0"/>
        <w:pageBreakBefore w:val="0"/>
        <w:widowControl w:val="0"/>
        <w:numPr>
          <w:ilvl w:val="0"/>
          <w:numId w:val="1"/>
        </w:numPr>
        <w:kinsoku/>
        <w:wordWrap/>
        <w:overflowPunct/>
        <w:topLinePunct w:val="0"/>
        <w:autoSpaceDE/>
        <w:autoSpaceDN/>
        <w:bidi w:val="0"/>
        <w:snapToGrid w:val="0"/>
        <w:spacing w:after="0" w:line="560" w:lineRule="exact"/>
        <w:jc w:val="both"/>
        <w:textAlignment w:val="auto"/>
        <w:rPr>
          <w:rFonts w:hint="eastAsia" w:ascii="黑体" w:hAnsi="黑体" w:eastAsia="黑体" w:cs="黑体"/>
          <w:kern w:val="2"/>
          <w:sz w:val="32"/>
          <w:szCs w:val="32"/>
          <w:highlight w:val="none"/>
          <w:lang w:val="en-US" w:eastAsia="zh-CN" w:bidi="ar-SA"/>
        </w:rPr>
      </w:pPr>
      <w:r>
        <w:rPr>
          <w:rFonts w:hint="eastAsia" w:ascii="黑体" w:hAnsi="黑体" w:eastAsia="黑体" w:cs="黑体"/>
          <w:kern w:val="2"/>
          <w:sz w:val="32"/>
          <w:szCs w:val="32"/>
          <w:highlight w:val="none"/>
          <w:lang w:val="en-US" w:eastAsia="zh-CN" w:bidi="ar-SA"/>
        </w:rPr>
        <w:t>单位概况</w:t>
      </w:r>
    </w:p>
    <w:p w14:paraId="57F9CD01">
      <w:pPr>
        <w:keepNext w:val="0"/>
        <w:keepLines w:val="0"/>
        <w:pageBreakBefore w:val="0"/>
        <w:widowControl w:val="0"/>
        <w:kinsoku/>
        <w:wordWrap/>
        <w:overflowPunct/>
        <w:topLinePunct w:val="0"/>
        <w:autoSpaceDE/>
        <w:autoSpaceDN/>
        <w:bidi w:val="0"/>
        <w:adjustRightInd/>
        <w:snapToGrid w:val="0"/>
        <w:spacing w:line="560" w:lineRule="exact"/>
        <w:ind w:firstLine="643" w:firstLineChars="200"/>
        <w:jc w:val="both"/>
        <w:textAlignment w:val="auto"/>
        <w:rPr>
          <w:rFonts w:hint="eastAsia" w:ascii="仿宋_GB2312" w:eastAsia="仿宋_GB2312"/>
          <w:b w:val="0"/>
          <w:bCs w:val="0"/>
          <w:color w:val="auto"/>
          <w:sz w:val="32"/>
          <w:szCs w:val="32"/>
          <w:lang w:val="en-US" w:eastAsia="zh-CN"/>
        </w:rPr>
      </w:pPr>
      <w:r>
        <w:rPr>
          <w:rFonts w:hint="eastAsia" w:ascii="仿宋_GB2312" w:eastAsia="仿宋_GB2312"/>
          <w:b/>
          <w:bCs/>
          <w:color w:val="auto"/>
          <w:sz w:val="32"/>
          <w:szCs w:val="32"/>
          <w:lang w:val="en-US" w:eastAsia="zh-CN"/>
        </w:rPr>
        <w:t>1、呼伦贝尔山金矿业有限公司：</w:t>
      </w:r>
      <w:r>
        <w:rPr>
          <w:rFonts w:hint="eastAsia" w:ascii="仿宋_GB2312" w:eastAsia="仿宋_GB2312"/>
          <w:b w:val="0"/>
          <w:bCs w:val="0"/>
          <w:color w:val="auto"/>
          <w:sz w:val="32"/>
          <w:szCs w:val="32"/>
          <w:lang w:val="en-US" w:eastAsia="zh-CN"/>
        </w:rPr>
        <w:t>隶属于山东黄金集团有限公司，是以有色矿产资源的探、采、选为一体的国有控股企业。呼伦贝尔山金矿业有限公司有采矿许可证2个，均在有效期内。安全生产许可证8个，其中公司总证1个，尾矿库安全生产许可证1个，各生产矿井安全生产许可证6个。均在有效期内。</w:t>
      </w:r>
    </w:p>
    <w:p w14:paraId="52880F50">
      <w:pPr>
        <w:keepNext w:val="0"/>
        <w:keepLines w:val="0"/>
        <w:pageBreakBefore w:val="0"/>
        <w:widowControl w:val="0"/>
        <w:kinsoku/>
        <w:wordWrap/>
        <w:overflowPunct/>
        <w:topLinePunct w:val="0"/>
        <w:autoSpaceDE/>
        <w:autoSpaceDN/>
        <w:bidi w:val="0"/>
        <w:adjustRightInd/>
        <w:snapToGrid w:val="0"/>
        <w:spacing w:line="560" w:lineRule="exact"/>
        <w:ind w:firstLine="643" w:firstLineChars="200"/>
        <w:jc w:val="both"/>
        <w:textAlignment w:val="auto"/>
        <w:rPr>
          <w:rFonts w:hint="eastAsia" w:ascii="仿宋" w:hAnsi="仿宋" w:cs="仿宋"/>
          <w:bCs/>
          <w:color w:val="auto"/>
          <w:kern w:val="44"/>
          <w:sz w:val="32"/>
          <w:szCs w:val="32"/>
          <w:highlight w:val="none"/>
          <w:lang w:val="en-US" w:eastAsia="zh-CN"/>
        </w:rPr>
      </w:pPr>
      <w:r>
        <w:rPr>
          <w:rFonts w:hint="eastAsia" w:ascii="仿宋_GB2312" w:eastAsia="仿宋_GB2312"/>
          <w:b/>
          <w:bCs/>
          <w:color w:val="auto"/>
          <w:sz w:val="32"/>
          <w:szCs w:val="32"/>
          <w:lang w:val="en-US" w:eastAsia="zh-CN"/>
        </w:rPr>
        <w:t>2、外委施工单位项目部：</w:t>
      </w:r>
      <w:r>
        <w:rPr>
          <w:rFonts w:hint="eastAsia" w:ascii="仿宋_GB2312" w:eastAsia="仿宋_GB2312"/>
          <w:b w:val="0"/>
          <w:bCs w:val="0"/>
          <w:color w:val="auto"/>
          <w:sz w:val="32"/>
          <w:szCs w:val="32"/>
          <w:lang w:val="en-US" w:eastAsia="zh-CN"/>
        </w:rPr>
        <w:t>浙江天增建设集团有限公司驻呼伦贝尔山金矿业有限公司项目部，2025年3月21日，呼伦贝尔山金矿业有限公司与浙江天增建设集团有限公司签订了《呼伦贝尔山金矿业有限公司采掘工程一标段施工合同》（GC-YY-F2025002），于2025年3</w:t>
      </w:r>
      <w:r>
        <w:rPr>
          <w:rFonts w:hint="eastAsia" w:ascii="仿宋" w:hAnsi="仿宋" w:cs="仿宋"/>
          <w:bCs/>
          <w:color w:val="auto"/>
          <w:kern w:val="44"/>
          <w:sz w:val="32"/>
          <w:szCs w:val="32"/>
          <w:highlight w:val="none"/>
          <w:lang w:val="en-US" w:eastAsia="zh-CN"/>
        </w:rPr>
        <w:t>月21日浙江天增建设集团有限公司成立了浙江天增建设集团有限公司驻呼伦贝尔山金矿业有限公司项目部，项目部负责呼伦贝尔山金矿业有限公司一标段采掘施工。2025年3月21日，授权委托李会林为该项目部经理，聘任期自2025年3月21日至2025年12月31日止。项目部配备了符合要求的专职安全员及专职技术人员。</w:t>
      </w:r>
    </w:p>
    <w:p w14:paraId="10D80BCD">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jc w:val="both"/>
        <w:textAlignment w:val="auto"/>
        <w:outlineLvl w:val="1"/>
        <w:rPr>
          <w:rFonts w:hint="eastAsia" w:ascii="黑体" w:hAnsi="黑体" w:eastAsia="黑体" w:cs="黑体"/>
          <w:kern w:val="2"/>
          <w:sz w:val="32"/>
          <w:szCs w:val="32"/>
          <w:highlight w:val="none"/>
          <w:lang w:val="en-US" w:eastAsia="zh-CN" w:bidi="ar-SA"/>
        </w:rPr>
      </w:pPr>
      <w:bookmarkStart w:id="0" w:name="_Toc30821"/>
      <w:bookmarkStart w:id="1" w:name="_Toc13616"/>
      <w:bookmarkStart w:id="2" w:name="_Toc23539"/>
      <w:r>
        <w:rPr>
          <w:rFonts w:hint="eastAsia" w:ascii="黑体" w:hAnsi="黑体" w:eastAsia="黑体" w:cs="黑体"/>
          <w:kern w:val="2"/>
          <w:sz w:val="32"/>
          <w:szCs w:val="32"/>
          <w:highlight w:val="none"/>
          <w:lang w:val="en-US" w:eastAsia="zh-CN" w:bidi="ar-SA"/>
        </w:rPr>
        <w:t>二、事故发生经过</w:t>
      </w:r>
      <w:bookmarkEnd w:id="0"/>
      <w:bookmarkEnd w:id="1"/>
      <w:bookmarkEnd w:id="2"/>
    </w:p>
    <w:p w14:paraId="15F78640">
      <w:pPr>
        <w:pStyle w:val="15"/>
        <w:keepNext w:val="0"/>
        <w:keepLines w:val="0"/>
        <w:pageBreakBefore w:val="0"/>
        <w:widowControl w:val="0"/>
        <w:kinsoku/>
        <w:wordWrap/>
        <w:overflowPunct/>
        <w:topLinePunct w:val="0"/>
        <w:autoSpaceDE/>
        <w:autoSpaceDN/>
        <w:bidi w:val="0"/>
        <w:adjustRightInd/>
        <w:snapToGrid w:val="0"/>
        <w:spacing w:after="0" w:line="560" w:lineRule="exact"/>
        <w:ind w:firstLine="640"/>
        <w:jc w:val="both"/>
        <w:textAlignment w:val="auto"/>
        <w:rPr>
          <w:rFonts w:hint="eastAsia" w:eastAsia="仿宋"/>
          <w:color w:val="auto"/>
          <w:kern w:val="2"/>
          <w:sz w:val="32"/>
          <w:szCs w:val="32"/>
          <w:lang w:val="en-US" w:eastAsia="zh-CN"/>
        </w:rPr>
      </w:pPr>
      <w:r>
        <w:rPr>
          <w:rFonts w:hint="eastAsia" w:eastAsia="仿宋"/>
          <w:color w:val="auto"/>
          <w:kern w:val="2"/>
          <w:sz w:val="32"/>
          <w:szCs w:val="32"/>
          <w:lang w:val="en-US" w:eastAsia="zh-CN"/>
        </w:rPr>
        <w:t>事故调查组在对事故有关信息调取、实地勘查走访及询问相关人员的基础上，结合收集有关资料及事故相关人员对事故发生情况的描述，对事故发生经过还原如下：</w:t>
      </w:r>
    </w:p>
    <w:p w14:paraId="0C39E093">
      <w:pPr>
        <w:pStyle w:val="15"/>
        <w:keepNext w:val="0"/>
        <w:keepLines w:val="0"/>
        <w:pageBreakBefore w:val="0"/>
        <w:widowControl w:val="0"/>
        <w:kinsoku/>
        <w:wordWrap/>
        <w:overflowPunct/>
        <w:topLinePunct w:val="0"/>
        <w:autoSpaceDE/>
        <w:autoSpaceDN/>
        <w:bidi w:val="0"/>
        <w:adjustRightInd/>
        <w:snapToGrid w:val="0"/>
        <w:spacing w:after="0" w:line="560" w:lineRule="exact"/>
        <w:ind w:firstLine="640"/>
        <w:jc w:val="both"/>
        <w:textAlignment w:val="auto"/>
        <w:rPr>
          <w:rFonts w:hint="eastAsia" w:ascii="CESI楷体-GB2312" w:hAnsi="CESI楷体-GB2312" w:eastAsia="CESI楷体-GB2312" w:cs="CESI楷体-GB2312"/>
          <w:b/>
          <w:bCs/>
          <w:color w:val="auto"/>
          <w:sz w:val="32"/>
          <w:szCs w:val="32"/>
          <w:lang w:eastAsia="zh-CN"/>
        </w:rPr>
      </w:pPr>
      <w:r>
        <w:rPr>
          <w:rFonts w:hint="eastAsia" w:ascii="仿宋_GB2312" w:hAnsi="仿宋_GB2312" w:eastAsia="仿宋_GB2312" w:cs="仿宋_GB2312"/>
          <w:sz w:val="32"/>
          <w:szCs w:val="32"/>
          <w:lang w:val="en-US" w:eastAsia="zh-CN"/>
        </w:rPr>
        <w:t>2025年5月6日8时许，山金矿业有限公司四采区带班领导刘云鹏、天增项目部带班领导王莉、装岩机工李宝力（死者）、运输工李宝新、白艳羽共同到达四采区三中段301采场，刘云鹏和王莉做好现场安全确认后随即离开，李宝力、李宝新、白艳羽三人进行出矿工作，10时左右李宝新和白艳羽往井底车场送装满渣石的矿车，留李宝力在301采场等待继续装车，10时20分左右李宝新和白艳羽返回301采场时，发现李宝力昏倒，随即白艳羽去找救援人员，李宝新呼喊李宝力发现无意识，就背起李宝力往外走，大约背着走了10多米，遇到赶来的</w:t>
      </w:r>
      <w:r>
        <w:rPr>
          <w:rFonts w:hint="eastAsia" w:ascii="仿宋_GB2312" w:hAnsi="仿宋_GB2312" w:eastAsia="仿宋_GB2312" w:cs="仿宋_GB2312"/>
          <w:sz w:val="32"/>
          <w:szCs w:val="32"/>
          <w:highlight w:val="none"/>
          <w:lang w:val="en-US" w:eastAsia="zh-CN"/>
        </w:rPr>
        <w:t>救援人员一起将</w:t>
      </w:r>
      <w:r>
        <w:rPr>
          <w:rFonts w:hint="eastAsia" w:ascii="仿宋_GB2312" w:hAnsi="仿宋_GB2312" w:eastAsia="仿宋_GB2312" w:cs="仿宋_GB2312"/>
          <w:sz w:val="32"/>
          <w:szCs w:val="32"/>
          <w:lang w:val="en-US" w:eastAsia="zh-CN"/>
        </w:rPr>
        <w:t>李宝力于10时30分左右抬至井上，随即刘小刚开车</w:t>
      </w:r>
      <w:r>
        <w:rPr>
          <w:rFonts w:hint="eastAsia" w:ascii="仿宋_GB2312" w:hAnsi="仿宋_GB2312" w:eastAsia="仿宋_GB2312" w:cs="仿宋_GB2312"/>
          <w:sz w:val="32"/>
          <w:szCs w:val="32"/>
          <w:highlight w:val="none"/>
          <w:lang w:val="en-US" w:eastAsia="zh-CN"/>
        </w:rPr>
        <w:t>将</w:t>
      </w:r>
      <w:r>
        <w:rPr>
          <w:rFonts w:hint="eastAsia" w:ascii="仿宋_GB2312" w:hAnsi="仿宋_GB2312" w:eastAsia="仿宋_GB2312" w:cs="仿宋_GB2312"/>
          <w:sz w:val="32"/>
          <w:szCs w:val="32"/>
          <w:lang w:val="en-US" w:eastAsia="zh-CN"/>
        </w:rPr>
        <w:t>李宝力送往得耳布尔镇卫生院，10时50分左右经接诊医师检查确认死亡。</w:t>
      </w:r>
    </w:p>
    <w:p w14:paraId="6D02D0E7">
      <w:pPr>
        <w:keepNext w:val="0"/>
        <w:keepLines w:val="0"/>
        <w:pageBreakBefore w:val="0"/>
        <w:widowControl w:val="0"/>
        <w:kinsoku/>
        <w:wordWrap/>
        <w:overflowPunct/>
        <w:topLinePunct w:val="0"/>
        <w:autoSpaceDE/>
        <w:autoSpaceDN/>
        <w:bidi w:val="0"/>
        <w:adjustRightInd w:val="0"/>
        <w:snapToGrid w:val="0"/>
        <w:spacing w:line="560" w:lineRule="exact"/>
        <w:ind w:firstLine="643" w:firstLineChars="200"/>
        <w:jc w:val="both"/>
        <w:textAlignment w:val="auto"/>
        <w:outlineLvl w:val="1"/>
        <w:rPr>
          <w:rFonts w:hint="eastAsia" w:ascii="仿宋" w:hAnsi="仿宋" w:cs="仿宋"/>
          <w:color w:val="auto"/>
          <w:sz w:val="32"/>
          <w:szCs w:val="32"/>
          <w:highlight w:val="none"/>
          <w:lang w:val="en-US" w:eastAsia="zh-CN"/>
        </w:rPr>
      </w:pPr>
      <w:r>
        <w:rPr>
          <w:rFonts w:hint="eastAsia" w:ascii="仿宋_GB2312" w:eastAsia="仿宋_GB2312"/>
          <w:b/>
          <w:bCs/>
          <w:color w:val="auto"/>
          <w:sz w:val="32"/>
          <w:szCs w:val="32"/>
          <w:highlight w:val="none"/>
          <w:lang w:eastAsia="zh-CN"/>
        </w:rPr>
        <w:t>事故现场情况：</w:t>
      </w:r>
      <w:r>
        <w:rPr>
          <w:rFonts w:hint="eastAsia" w:ascii="仿宋_GB2312" w:eastAsia="仿宋_GB2312"/>
          <w:b w:val="0"/>
          <w:bCs w:val="0"/>
          <w:color w:val="auto"/>
          <w:sz w:val="32"/>
          <w:szCs w:val="32"/>
          <w:highlight w:val="none"/>
          <w:lang w:eastAsia="zh-CN"/>
        </w:rPr>
        <w:t>事发地点为四采区</w:t>
      </w:r>
      <w:r>
        <w:rPr>
          <w:rFonts w:hint="eastAsia" w:ascii="仿宋" w:hAnsi="仿宋" w:eastAsia="仿宋" w:cs="仿宋"/>
          <w:color w:val="auto"/>
          <w:sz w:val="32"/>
          <w:szCs w:val="32"/>
          <w:lang w:val="en-US" w:eastAsia="zh-CN"/>
        </w:rPr>
        <w:t>三中段</w:t>
      </w:r>
      <w:r>
        <w:rPr>
          <w:rFonts w:hint="eastAsia" w:ascii="仿宋" w:hAnsi="仿宋" w:cs="仿宋"/>
          <w:color w:val="auto"/>
          <w:sz w:val="32"/>
          <w:szCs w:val="32"/>
          <w:lang w:val="en-US" w:eastAsia="zh-CN"/>
        </w:rPr>
        <w:t>301采场</w:t>
      </w:r>
      <w:r>
        <w:rPr>
          <w:rFonts w:hint="eastAsia" w:ascii="仿宋" w:hAnsi="仿宋" w:cs="仿宋"/>
          <w:color w:val="auto"/>
          <w:sz w:val="32"/>
          <w:szCs w:val="32"/>
          <w:highlight w:val="none"/>
          <w:lang w:val="en-US" w:eastAsia="zh-CN"/>
        </w:rPr>
        <w:t>。经现场勘察及调阅井下安全调度系统检测数据显示，事发前后风速为0.5m/s、一氧化碳为0ppm、氧气浓度为20.9%，均处于正常状态；301采场脉外巷及出矿穿顶帮均进行了锚网支护，现场顶板无浮石脱落；301采场脉外巷安装有带矿安标识的配电箱，漏电保护现场试验正常，装岩机电缆无破损。</w:t>
      </w:r>
    </w:p>
    <w:p w14:paraId="017AF735">
      <w:pPr>
        <w:keepNext w:val="0"/>
        <w:keepLines w:val="0"/>
        <w:pageBreakBefore w:val="0"/>
        <w:widowControl w:val="0"/>
        <w:numPr>
          <w:ilvl w:val="0"/>
          <w:numId w:val="0"/>
        </w:numPr>
        <w:kinsoku/>
        <w:wordWrap/>
        <w:overflowPunct/>
        <w:topLinePunct w:val="0"/>
        <w:autoSpaceDE/>
        <w:autoSpaceDN/>
        <w:bidi w:val="0"/>
        <w:snapToGrid w:val="0"/>
        <w:spacing w:beforeAutospacing="0" w:afterAutospacing="0" w:line="560" w:lineRule="exact"/>
        <w:ind w:firstLine="640" w:firstLineChars="200"/>
        <w:jc w:val="both"/>
        <w:textAlignment w:val="auto"/>
        <w:rPr>
          <w:rFonts w:hint="eastAsia" w:ascii="仿宋" w:hAnsi="仿宋" w:cs="仿宋"/>
          <w:color w:val="auto"/>
          <w:sz w:val="32"/>
          <w:szCs w:val="32"/>
          <w:highlight w:val="none"/>
          <w:lang w:val="en-US" w:eastAsia="zh-CN"/>
        </w:rPr>
      </w:pPr>
      <w:r>
        <w:rPr>
          <w:rFonts w:hint="eastAsia" w:ascii="仿宋" w:hAnsi="仿宋" w:cs="仿宋"/>
          <w:color w:val="auto"/>
          <w:sz w:val="32"/>
          <w:szCs w:val="32"/>
          <w:highlight w:val="none"/>
          <w:lang w:val="en-US" w:eastAsia="zh-CN"/>
        </w:rPr>
        <w:t>装岩机工</w:t>
      </w:r>
      <w:r>
        <w:rPr>
          <w:rFonts w:hint="eastAsia" w:ascii="仿宋_GB2312" w:hAnsi="仿宋_GB2312" w:eastAsia="仿宋_GB2312" w:cs="仿宋_GB2312"/>
          <w:sz w:val="32"/>
          <w:szCs w:val="32"/>
          <w:lang w:val="en-US" w:eastAsia="zh-CN"/>
        </w:rPr>
        <w:t>李宝力（死者）</w:t>
      </w:r>
      <w:r>
        <w:rPr>
          <w:rFonts w:hint="eastAsia" w:ascii="仿宋" w:hAnsi="仿宋" w:cs="仿宋"/>
          <w:color w:val="auto"/>
          <w:sz w:val="32"/>
          <w:szCs w:val="32"/>
          <w:highlight w:val="none"/>
          <w:lang w:val="en-US" w:eastAsia="zh-CN"/>
        </w:rPr>
        <w:t>站在设备一侧操作设备，利用铲斗扬铲装矿，装完矿车后机体停止运行。装完一列矿车后，运输工</w:t>
      </w:r>
      <w:r>
        <w:rPr>
          <w:rFonts w:hint="eastAsia" w:ascii="仿宋_GB2312" w:hAnsi="仿宋_GB2312" w:eastAsia="仿宋_GB2312" w:cs="仿宋_GB2312"/>
          <w:sz w:val="32"/>
          <w:szCs w:val="32"/>
          <w:lang w:val="en-US" w:eastAsia="zh-CN"/>
        </w:rPr>
        <w:t>李宝新、白艳羽</w:t>
      </w:r>
      <w:r>
        <w:rPr>
          <w:rFonts w:hint="eastAsia" w:ascii="仿宋" w:hAnsi="仿宋" w:cs="仿宋"/>
          <w:color w:val="auto"/>
          <w:sz w:val="32"/>
          <w:szCs w:val="32"/>
          <w:highlight w:val="none"/>
          <w:lang w:val="en-US" w:eastAsia="zh-CN"/>
        </w:rPr>
        <w:t>利用电瓶车牵引矿车运输到马头门车场，装岩机处于停止工作状态。经现场排查，设备无侧翻、运输工</w:t>
      </w:r>
      <w:r>
        <w:rPr>
          <w:rFonts w:hint="eastAsia" w:ascii="仿宋_GB2312" w:hAnsi="仿宋_GB2312" w:eastAsia="仿宋_GB2312" w:cs="仿宋_GB2312"/>
          <w:sz w:val="32"/>
          <w:szCs w:val="32"/>
          <w:lang w:val="en-US" w:eastAsia="zh-CN"/>
        </w:rPr>
        <w:t>李宝新、白艳羽</w:t>
      </w:r>
      <w:r>
        <w:rPr>
          <w:rFonts w:hint="eastAsia" w:ascii="仿宋" w:hAnsi="仿宋" w:cs="仿宋"/>
          <w:color w:val="auto"/>
          <w:sz w:val="32"/>
          <w:szCs w:val="32"/>
          <w:highlight w:val="none"/>
          <w:lang w:val="en-US" w:eastAsia="zh-CN"/>
        </w:rPr>
        <w:t>回现场时装岩机位置未移动。</w:t>
      </w:r>
    </w:p>
    <w:p w14:paraId="3BB9E241">
      <w:pPr>
        <w:keepNext w:val="0"/>
        <w:keepLines w:val="0"/>
        <w:pageBreakBefore w:val="0"/>
        <w:widowControl w:val="0"/>
        <w:numPr>
          <w:ilvl w:val="0"/>
          <w:numId w:val="0"/>
        </w:numPr>
        <w:kinsoku/>
        <w:wordWrap/>
        <w:overflowPunct/>
        <w:topLinePunct w:val="0"/>
        <w:autoSpaceDE/>
        <w:autoSpaceDN/>
        <w:bidi w:val="0"/>
        <w:snapToGrid w:val="0"/>
        <w:spacing w:beforeAutospacing="0" w:afterAutospacing="0" w:line="560" w:lineRule="exact"/>
        <w:ind w:firstLine="640" w:firstLineChars="200"/>
        <w:jc w:val="both"/>
        <w:textAlignment w:val="auto"/>
        <w:rPr>
          <w:rFonts w:hint="eastAsia" w:ascii="仿宋" w:hAnsi="仿宋" w:cs="仿宋"/>
          <w:color w:val="auto"/>
          <w:sz w:val="32"/>
          <w:szCs w:val="32"/>
          <w:highlight w:val="none"/>
          <w:lang w:val="en-US" w:eastAsia="zh-CN"/>
        </w:rPr>
      </w:pPr>
      <w:r>
        <w:rPr>
          <w:rFonts w:hint="eastAsia" w:ascii="仿宋" w:hAnsi="仿宋" w:cs="仿宋"/>
          <w:color w:val="auto"/>
          <w:sz w:val="32"/>
          <w:szCs w:val="32"/>
          <w:highlight w:val="none"/>
          <w:lang w:val="en-US" w:eastAsia="zh-CN"/>
        </w:rPr>
        <w:t>经调查，四采区三中段从3月1日至今未进行爆破作业。</w:t>
      </w:r>
    </w:p>
    <w:p w14:paraId="1A7C0D85">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jc w:val="both"/>
        <w:textAlignment w:val="auto"/>
        <w:outlineLvl w:val="1"/>
        <w:rPr>
          <w:rFonts w:hint="eastAsia" w:ascii="黑体" w:hAnsi="黑体" w:eastAsia="黑体" w:cs="黑体"/>
          <w:kern w:val="2"/>
          <w:sz w:val="32"/>
          <w:szCs w:val="32"/>
          <w:highlight w:val="none"/>
          <w:lang w:val="en-US" w:eastAsia="zh-CN" w:bidi="ar-SA"/>
        </w:rPr>
      </w:pPr>
      <w:r>
        <w:rPr>
          <w:rFonts w:hint="eastAsia" w:ascii="黑体" w:hAnsi="黑体" w:eastAsia="黑体" w:cs="黑体"/>
          <w:kern w:val="2"/>
          <w:sz w:val="32"/>
          <w:szCs w:val="32"/>
          <w:highlight w:val="none"/>
          <w:lang w:val="en-US" w:eastAsia="zh-CN" w:bidi="ar-SA"/>
        </w:rPr>
        <w:t>三、事故调查情况</w:t>
      </w:r>
    </w:p>
    <w:p w14:paraId="31487948">
      <w:pPr>
        <w:keepNext w:val="0"/>
        <w:keepLines w:val="0"/>
        <w:pageBreakBefore w:val="0"/>
        <w:widowControl w:val="0"/>
        <w:numPr>
          <w:ilvl w:val="0"/>
          <w:numId w:val="0"/>
        </w:numPr>
        <w:kinsoku/>
        <w:wordWrap/>
        <w:overflowPunct/>
        <w:topLinePunct w:val="0"/>
        <w:autoSpaceDE/>
        <w:autoSpaceDN/>
        <w:bidi w:val="0"/>
        <w:snapToGrid w:val="0"/>
        <w:spacing w:beforeAutospacing="0" w:afterAutospacing="0" w:line="560" w:lineRule="exact"/>
        <w:ind w:firstLine="640" w:firstLineChars="200"/>
        <w:jc w:val="both"/>
        <w:textAlignment w:val="auto"/>
        <w:rPr>
          <w:rFonts w:hint="eastAsia"/>
          <w:lang w:val="en-US" w:eastAsia="zh-CN"/>
        </w:rPr>
      </w:pPr>
      <w:r>
        <w:rPr>
          <w:rFonts w:hint="eastAsia"/>
          <w:lang w:val="en-US" w:eastAsia="zh-CN"/>
        </w:rPr>
        <w:t>依据：1、</w:t>
      </w:r>
      <w:r>
        <w:rPr>
          <w:rFonts w:hint="default"/>
          <w:lang w:val="en-US" w:eastAsia="zh-CN"/>
        </w:rPr>
        <w:t>5月6日根河市公安局得耳布尔派出所出具证明</w:t>
      </w:r>
      <w:r>
        <w:rPr>
          <w:rFonts w:hint="eastAsia"/>
          <w:lang w:val="en-US" w:eastAsia="zh-CN"/>
        </w:rPr>
        <w:t>“</w:t>
      </w:r>
      <w:r>
        <w:rPr>
          <w:rFonts w:hint="default"/>
          <w:lang w:val="en-US" w:eastAsia="zh-CN"/>
        </w:rPr>
        <w:t>经调查检验该人身体无外伤，排除他杀和外力死亡原因导致死亡。经现场勘查，排除放炮伤害、有害气体伤害、冒顶片帮伤害、机械伤害、触电伤害等原因导致死亡。</w:t>
      </w:r>
      <w:r>
        <w:rPr>
          <w:rFonts w:hint="eastAsia"/>
          <w:lang w:val="en-US" w:eastAsia="zh-CN"/>
        </w:rPr>
        <w:t>”</w:t>
      </w:r>
    </w:p>
    <w:p w14:paraId="70E87C16">
      <w:pPr>
        <w:keepNext w:val="0"/>
        <w:keepLines w:val="0"/>
        <w:pageBreakBefore w:val="0"/>
        <w:widowControl w:val="0"/>
        <w:kinsoku/>
        <w:wordWrap/>
        <w:overflowPunct/>
        <w:topLinePunct w:val="0"/>
        <w:autoSpaceDE/>
        <w:autoSpaceDN/>
        <w:bidi w:val="0"/>
        <w:adjustRightInd/>
        <w:snapToGrid w:val="0"/>
        <w:spacing w:line="500" w:lineRule="exact"/>
        <w:ind w:firstLine="640" w:firstLineChars="200"/>
        <w:jc w:val="both"/>
        <w:textAlignment w:val="auto"/>
        <w:rPr>
          <w:rFonts w:hint="eastAsia" w:ascii="仿宋_GB2312" w:eastAsia="仿宋_GB2312"/>
          <w:b w:val="0"/>
          <w:bCs w:val="0"/>
          <w:color w:val="auto"/>
          <w:sz w:val="32"/>
          <w:szCs w:val="32"/>
          <w:highlight w:val="none"/>
          <w:lang w:eastAsia="zh-CN"/>
        </w:rPr>
      </w:pPr>
      <w:r>
        <w:rPr>
          <w:rFonts w:hint="eastAsia" w:ascii="仿宋_GB2312" w:hAnsi="仿宋_GB2312" w:eastAsia="仿宋_GB2312" w:cs="仿宋_GB2312"/>
          <w:color w:val="auto"/>
          <w:kern w:val="2"/>
          <w:sz w:val="32"/>
          <w:szCs w:val="32"/>
          <w:highlight w:val="none"/>
          <w:lang w:val="en-US" w:eastAsia="zh-CN" w:bidi="ar-SA"/>
        </w:rPr>
        <w:t>2、6月9日</w:t>
      </w:r>
      <w:r>
        <w:rPr>
          <w:rFonts w:hint="eastAsia" w:ascii="仿宋_GB2312" w:eastAsia="仿宋_GB2312"/>
          <w:b w:val="0"/>
          <w:bCs w:val="0"/>
          <w:color w:val="auto"/>
          <w:sz w:val="32"/>
          <w:szCs w:val="32"/>
          <w:highlight w:val="none"/>
          <w:lang w:eastAsia="zh-CN"/>
        </w:rPr>
        <w:t>《哈尔滨大工司法鉴定中心司法鉴定意见书》（哈大工</w:t>
      </w:r>
      <w:r>
        <w:rPr>
          <w:rFonts w:hint="eastAsia" w:ascii="仿宋_GB2312" w:eastAsia="仿宋_GB2312"/>
          <w:b w:val="0"/>
          <w:bCs w:val="0"/>
          <w:color w:val="auto"/>
          <w:sz w:val="32"/>
          <w:szCs w:val="32"/>
          <w:highlight w:val="none"/>
          <w:lang w:val="en-US" w:eastAsia="zh-CN"/>
        </w:rPr>
        <w:t>[2025]病司鉴字159号</w:t>
      </w:r>
      <w:r>
        <w:rPr>
          <w:rFonts w:hint="eastAsia" w:ascii="仿宋_GB2312" w:eastAsia="仿宋_GB2312"/>
          <w:b w:val="0"/>
          <w:bCs w:val="0"/>
          <w:color w:val="auto"/>
          <w:sz w:val="32"/>
          <w:szCs w:val="32"/>
          <w:highlight w:val="none"/>
          <w:lang w:eastAsia="zh-CN"/>
        </w:rPr>
        <w:t>）法医病理学诊断：“</w:t>
      </w:r>
      <w:r>
        <w:rPr>
          <w:rFonts w:hint="eastAsia" w:ascii="仿宋_GB2312" w:eastAsia="仿宋_GB2312"/>
          <w:b w:val="0"/>
          <w:bCs w:val="0"/>
          <w:color w:val="auto"/>
          <w:sz w:val="32"/>
          <w:szCs w:val="32"/>
          <w:highlight w:val="none"/>
          <w:lang w:val="en-US" w:eastAsia="zh-CN"/>
        </w:rPr>
        <w:t>1、</w:t>
      </w:r>
      <w:r>
        <w:rPr>
          <w:rFonts w:hint="default" w:ascii="仿宋_GB2312" w:hAnsi="仿宋_GB2312" w:eastAsia="仿宋_GB2312" w:cs="仿宋_GB2312"/>
          <w:color w:val="auto"/>
          <w:kern w:val="2"/>
          <w:sz w:val="32"/>
          <w:szCs w:val="32"/>
          <w:highlight w:val="none"/>
          <w:lang w:val="en-US" w:eastAsia="zh-CN" w:bidi="ar-SA"/>
        </w:rPr>
        <w:t>右心房破裂</w:t>
      </w:r>
      <w:r>
        <w:rPr>
          <w:rFonts w:hint="eastAsia" w:ascii="仿宋_GB2312" w:hAnsi="仿宋_GB2312" w:eastAsia="仿宋_GB2312" w:cs="仿宋_GB2312"/>
          <w:color w:val="auto"/>
          <w:kern w:val="2"/>
          <w:sz w:val="32"/>
          <w:szCs w:val="32"/>
          <w:highlight w:val="none"/>
          <w:lang w:val="en-US" w:eastAsia="zh-CN" w:bidi="ar-SA"/>
        </w:rPr>
        <w:t>，</w:t>
      </w:r>
      <w:r>
        <w:rPr>
          <w:rFonts w:hint="default" w:ascii="仿宋_GB2312" w:hAnsi="仿宋_GB2312" w:eastAsia="仿宋_GB2312" w:cs="仿宋_GB2312"/>
          <w:color w:val="auto"/>
          <w:kern w:val="2"/>
          <w:sz w:val="32"/>
          <w:szCs w:val="32"/>
          <w:highlight w:val="none"/>
          <w:lang w:val="en-US" w:eastAsia="zh-CN" w:bidi="ar-SA"/>
        </w:rPr>
        <w:t>心脏冠状动脉粥样硬化II级</w:t>
      </w:r>
      <w:r>
        <w:rPr>
          <w:rFonts w:hint="eastAsia" w:ascii="仿宋_GB2312" w:hAnsi="仿宋_GB2312" w:eastAsia="仿宋_GB2312" w:cs="仿宋_GB2312"/>
          <w:color w:val="auto"/>
          <w:kern w:val="2"/>
          <w:sz w:val="32"/>
          <w:szCs w:val="32"/>
          <w:highlight w:val="none"/>
          <w:lang w:val="en-US" w:eastAsia="zh-CN" w:bidi="ar-SA"/>
        </w:rPr>
        <w:t>；2、</w:t>
      </w:r>
      <w:r>
        <w:rPr>
          <w:rFonts w:hint="default" w:ascii="仿宋_GB2312" w:hAnsi="仿宋_GB2312" w:eastAsia="仿宋_GB2312" w:cs="仿宋_GB2312"/>
          <w:color w:val="auto"/>
          <w:kern w:val="2"/>
          <w:sz w:val="32"/>
          <w:szCs w:val="32"/>
          <w:highlight w:val="none"/>
          <w:lang w:val="en-US" w:eastAsia="zh-CN" w:bidi="ar-SA"/>
        </w:rPr>
        <w:t>间质性小叶性肺炎，肺水、气肿</w:t>
      </w:r>
      <w:r>
        <w:rPr>
          <w:rFonts w:hint="eastAsia" w:ascii="仿宋_GB2312" w:hAnsi="仿宋_GB2312" w:eastAsia="仿宋_GB2312" w:cs="仿宋_GB2312"/>
          <w:color w:val="auto"/>
          <w:kern w:val="2"/>
          <w:sz w:val="32"/>
          <w:szCs w:val="32"/>
          <w:highlight w:val="none"/>
          <w:lang w:val="en-US" w:eastAsia="zh-CN" w:bidi="ar-SA"/>
        </w:rPr>
        <w:t>；3、</w:t>
      </w:r>
      <w:r>
        <w:rPr>
          <w:rFonts w:hint="default" w:ascii="仿宋_GB2312" w:hAnsi="仿宋_GB2312" w:eastAsia="仿宋_GB2312" w:cs="仿宋_GB2312"/>
          <w:color w:val="auto"/>
          <w:kern w:val="2"/>
          <w:sz w:val="32"/>
          <w:szCs w:val="32"/>
          <w:highlight w:val="none"/>
          <w:lang w:val="en-US" w:eastAsia="zh-CN" w:bidi="ar-SA"/>
        </w:rPr>
        <w:t>脑水肿</w:t>
      </w:r>
      <w:r>
        <w:rPr>
          <w:rFonts w:hint="eastAsia" w:ascii="仿宋_GB2312" w:hAnsi="仿宋_GB2312" w:eastAsia="仿宋_GB2312" w:cs="仿宋_GB2312"/>
          <w:color w:val="auto"/>
          <w:kern w:val="2"/>
          <w:sz w:val="32"/>
          <w:szCs w:val="32"/>
          <w:highlight w:val="none"/>
          <w:lang w:val="en-US" w:eastAsia="zh-CN" w:bidi="ar-SA"/>
        </w:rPr>
        <w:t>；4、部分组织器官淤血、自溶</w:t>
      </w:r>
      <w:r>
        <w:rPr>
          <w:rFonts w:hint="eastAsia" w:ascii="仿宋_GB2312" w:eastAsia="仿宋_GB2312"/>
          <w:b w:val="0"/>
          <w:bCs w:val="0"/>
          <w:color w:val="auto"/>
          <w:sz w:val="32"/>
          <w:szCs w:val="32"/>
          <w:highlight w:val="none"/>
          <w:lang w:eastAsia="zh-CN"/>
        </w:rPr>
        <w:t>”；</w:t>
      </w:r>
    </w:p>
    <w:p w14:paraId="08316E0F">
      <w:pPr>
        <w:keepNext w:val="0"/>
        <w:keepLines w:val="0"/>
        <w:pageBreakBefore w:val="0"/>
        <w:widowControl w:val="0"/>
        <w:kinsoku/>
        <w:wordWrap/>
        <w:overflowPunct/>
        <w:topLinePunct w:val="0"/>
        <w:autoSpaceDE/>
        <w:autoSpaceDN/>
        <w:bidi w:val="0"/>
        <w:adjustRightInd/>
        <w:snapToGrid w:val="0"/>
        <w:spacing w:line="500" w:lineRule="exact"/>
        <w:ind w:firstLine="640" w:firstLineChars="200"/>
        <w:jc w:val="both"/>
        <w:textAlignment w:val="auto"/>
        <w:rPr>
          <w:rFonts w:hint="eastAsia" w:ascii="仿宋_GB2312" w:hAnsi="仿宋_GB2312" w:eastAsia="仿宋_GB2312" w:cs="仿宋_GB2312"/>
          <w:color w:val="auto"/>
          <w:kern w:val="2"/>
          <w:sz w:val="32"/>
          <w:szCs w:val="32"/>
          <w:highlight w:val="none"/>
          <w:lang w:val="en-US" w:eastAsia="zh-CN" w:bidi="ar-SA"/>
        </w:rPr>
      </w:pPr>
      <w:r>
        <w:rPr>
          <w:rFonts w:hint="eastAsia" w:ascii="仿宋_GB2312" w:eastAsia="仿宋_GB2312"/>
          <w:b w:val="0"/>
          <w:bCs w:val="0"/>
          <w:color w:val="auto"/>
          <w:sz w:val="32"/>
          <w:szCs w:val="32"/>
          <w:highlight w:val="none"/>
          <w:lang w:val="en-US" w:eastAsia="zh-CN"/>
        </w:rPr>
        <w:t>3、6月12日</w:t>
      </w:r>
      <w:r>
        <w:rPr>
          <w:rFonts w:hint="default" w:ascii="仿宋_GB2312" w:eastAsia="仿宋_GB2312"/>
          <w:b w:val="0"/>
          <w:bCs w:val="0"/>
          <w:color w:val="auto"/>
          <w:sz w:val="32"/>
          <w:szCs w:val="32"/>
          <w:highlight w:val="none"/>
          <w:lang w:val="en-US" w:eastAsia="zh-CN"/>
        </w:rPr>
        <w:t>《呼伦贝尔市金盾司法鉴定所司法鉴定意见书》（ 呼金盾司鉴所[2025]病鉴字第0016号）</w:t>
      </w:r>
      <w:r>
        <w:rPr>
          <w:rFonts w:hint="eastAsia" w:ascii="仿宋_GB2312" w:eastAsia="仿宋_GB2312"/>
          <w:b w:val="0"/>
          <w:bCs w:val="0"/>
          <w:color w:val="auto"/>
          <w:sz w:val="32"/>
          <w:szCs w:val="32"/>
          <w:highlight w:val="none"/>
          <w:lang w:eastAsia="zh-CN"/>
        </w:rPr>
        <w:t>鉴定意见：“被鉴定人</w:t>
      </w:r>
      <w:r>
        <w:rPr>
          <w:rFonts w:hint="eastAsia" w:ascii="仿宋_GB2312" w:hAnsi="仿宋_GB2312" w:eastAsia="仿宋_GB2312" w:cs="仿宋_GB2312"/>
          <w:color w:val="auto"/>
          <w:kern w:val="2"/>
          <w:sz w:val="32"/>
          <w:szCs w:val="32"/>
          <w:highlight w:val="none"/>
          <w:lang w:val="en-US" w:eastAsia="zh-CN" w:bidi="ar-SA"/>
        </w:rPr>
        <w:t>李宝力</w:t>
      </w:r>
      <w:r>
        <w:rPr>
          <w:rFonts w:hint="default" w:ascii="仿宋_GB2312" w:hAnsi="仿宋_GB2312" w:eastAsia="仿宋_GB2312" w:cs="仿宋_GB2312"/>
          <w:color w:val="auto"/>
          <w:kern w:val="2"/>
          <w:sz w:val="32"/>
          <w:szCs w:val="32"/>
          <w:highlight w:val="none"/>
          <w:lang w:val="en-US" w:eastAsia="zh-CN" w:bidi="ar-SA"/>
        </w:rPr>
        <w:t>因患心脏冠状动脉粥样硬化II级</w:t>
      </w:r>
      <w:r>
        <w:rPr>
          <w:rFonts w:hint="eastAsia" w:ascii="仿宋_GB2312" w:hAnsi="仿宋_GB2312" w:eastAsia="仿宋_GB2312" w:cs="仿宋_GB2312"/>
          <w:color w:val="auto"/>
          <w:kern w:val="2"/>
          <w:sz w:val="32"/>
          <w:szCs w:val="32"/>
          <w:highlight w:val="none"/>
          <w:lang w:val="en-US" w:eastAsia="zh-CN" w:bidi="ar-SA"/>
        </w:rPr>
        <w:t>；</w:t>
      </w:r>
      <w:r>
        <w:rPr>
          <w:rFonts w:hint="default" w:ascii="仿宋_GB2312" w:hAnsi="仿宋_GB2312" w:eastAsia="仿宋_GB2312" w:cs="仿宋_GB2312"/>
          <w:color w:val="auto"/>
          <w:kern w:val="2"/>
          <w:sz w:val="32"/>
          <w:szCs w:val="32"/>
          <w:highlight w:val="none"/>
          <w:lang w:val="en-US" w:eastAsia="zh-CN" w:bidi="ar-SA"/>
        </w:rPr>
        <w:t>2.间质性小叶性肺炎，肺水、气肿</w:t>
      </w:r>
      <w:r>
        <w:rPr>
          <w:rFonts w:hint="eastAsia" w:ascii="仿宋_GB2312" w:hAnsi="仿宋_GB2312" w:eastAsia="仿宋_GB2312" w:cs="仿宋_GB2312"/>
          <w:color w:val="auto"/>
          <w:kern w:val="2"/>
          <w:sz w:val="32"/>
          <w:szCs w:val="32"/>
          <w:highlight w:val="none"/>
          <w:lang w:val="en-US" w:eastAsia="zh-CN" w:bidi="ar-SA"/>
        </w:rPr>
        <w:t>；</w:t>
      </w:r>
      <w:r>
        <w:rPr>
          <w:rFonts w:hint="default" w:ascii="仿宋_GB2312" w:hAnsi="仿宋_GB2312" w:eastAsia="仿宋_GB2312" w:cs="仿宋_GB2312"/>
          <w:color w:val="auto"/>
          <w:kern w:val="2"/>
          <w:sz w:val="32"/>
          <w:szCs w:val="32"/>
          <w:highlight w:val="none"/>
          <w:lang w:val="en-US" w:eastAsia="zh-CN" w:bidi="ar-SA"/>
        </w:rPr>
        <w:t>3.脑水肿</w:t>
      </w:r>
      <w:r>
        <w:rPr>
          <w:rFonts w:hint="eastAsia" w:ascii="仿宋_GB2312" w:hAnsi="仿宋_GB2312" w:eastAsia="仿宋_GB2312" w:cs="仿宋_GB2312"/>
          <w:color w:val="auto"/>
          <w:kern w:val="2"/>
          <w:sz w:val="32"/>
          <w:szCs w:val="32"/>
          <w:highlight w:val="none"/>
          <w:lang w:val="en-US" w:eastAsia="zh-CN" w:bidi="ar-SA"/>
        </w:rPr>
        <w:t>；</w:t>
      </w:r>
      <w:r>
        <w:rPr>
          <w:rFonts w:hint="default" w:ascii="仿宋_GB2312" w:hAnsi="仿宋_GB2312" w:eastAsia="仿宋_GB2312" w:cs="仿宋_GB2312"/>
          <w:color w:val="auto"/>
          <w:kern w:val="2"/>
          <w:sz w:val="32"/>
          <w:szCs w:val="32"/>
          <w:highlight w:val="none"/>
          <w:lang w:val="en-US" w:eastAsia="zh-CN" w:bidi="ar-SA"/>
        </w:rPr>
        <w:t>右心房破裂而死亡</w:t>
      </w:r>
      <w:r>
        <w:rPr>
          <w:rFonts w:hint="eastAsia" w:ascii="仿宋_GB2312" w:hAnsi="仿宋_GB2312" w:eastAsia="仿宋_GB2312" w:cs="仿宋_GB2312"/>
          <w:color w:val="auto"/>
          <w:kern w:val="2"/>
          <w:sz w:val="32"/>
          <w:szCs w:val="32"/>
          <w:highlight w:val="none"/>
          <w:lang w:val="en-US" w:eastAsia="zh-CN" w:bidi="ar-SA"/>
        </w:rPr>
        <w:t xml:space="preserve">”，  </w:t>
      </w:r>
    </w:p>
    <w:p w14:paraId="6C9E1E9C">
      <w:pPr>
        <w:keepNext w:val="0"/>
        <w:keepLines w:val="0"/>
        <w:pageBreakBefore w:val="0"/>
        <w:widowControl w:val="0"/>
        <w:kinsoku/>
        <w:wordWrap/>
        <w:overflowPunct/>
        <w:topLinePunct w:val="0"/>
        <w:autoSpaceDE/>
        <w:autoSpaceDN/>
        <w:bidi w:val="0"/>
        <w:adjustRightInd/>
        <w:snapToGrid w:val="0"/>
        <w:spacing w:line="500" w:lineRule="exact"/>
        <w:jc w:val="both"/>
        <w:textAlignment w:val="auto"/>
        <w:rPr>
          <w:rFonts w:hint="eastAsia" w:ascii="仿宋_GB2312" w:hAnsi="仿宋_GB2312" w:eastAsia="仿宋_GB2312" w:cs="仿宋_GB2312"/>
          <w:color w:val="auto"/>
          <w:kern w:val="2"/>
          <w:sz w:val="32"/>
          <w:szCs w:val="32"/>
          <w:highlight w:val="none"/>
          <w:lang w:val="en-US" w:eastAsia="zh-CN" w:bidi="ar-SA"/>
        </w:rPr>
      </w:pPr>
      <w:r>
        <w:rPr>
          <w:rFonts w:hint="eastAsia" w:ascii="仿宋_GB2312" w:eastAsia="仿宋_GB2312"/>
          <w:b w:val="0"/>
          <w:bCs w:val="0"/>
          <w:color w:val="auto"/>
          <w:sz w:val="32"/>
          <w:szCs w:val="32"/>
          <w:highlight w:val="none"/>
          <w:lang w:val="en-US" w:eastAsia="zh-CN"/>
        </w:rPr>
        <w:t>分析说明：“</w:t>
      </w:r>
      <w:r>
        <w:rPr>
          <w:rFonts w:hint="eastAsia" w:ascii="仿宋_GB2312" w:eastAsia="仿宋_GB2312"/>
          <w:b w:val="0"/>
          <w:bCs w:val="0"/>
          <w:color w:val="auto"/>
          <w:sz w:val="32"/>
          <w:szCs w:val="32"/>
          <w:highlight w:val="none"/>
          <w:lang w:eastAsia="zh-CN"/>
        </w:rPr>
        <w:t>根据尸表检验、尸体解剖，病理检验并结合案情综合分析认为李宝力因患有心脏冠状动脉粥样硬化II级</w:t>
      </w:r>
      <w:r>
        <w:rPr>
          <w:rFonts w:hint="default" w:ascii="仿宋_GB2312" w:eastAsia="仿宋_GB2312"/>
          <w:b w:val="0"/>
          <w:bCs w:val="0"/>
          <w:color w:val="auto"/>
          <w:sz w:val="32"/>
          <w:szCs w:val="32"/>
          <w:highlight w:val="none"/>
          <w:lang w:val="en-US" w:eastAsia="zh-CN"/>
        </w:rPr>
        <w:t>，</w:t>
      </w:r>
      <w:r>
        <w:rPr>
          <w:rFonts w:hint="eastAsia" w:ascii="仿宋_GB2312" w:eastAsia="仿宋_GB2312"/>
          <w:b w:val="0"/>
          <w:bCs w:val="0"/>
          <w:color w:val="auto"/>
          <w:sz w:val="32"/>
          <w:szCs w:val="32"/>
          <w:highlight w:val="none"/>
          <w:lang w:eastAsia="zh-CN"/>
        </w:rPr>
        <w:t>导致</w:t>
      </w:r>
      <w:r>
        <w:rPr>
          <w:rFonts w:hint="default" w:ascii="仿宋_GB2312" w:hAnsi="Calibri" w:eastAsia="仿宋_GB2312" w:cs="宋体"/>
          <w:b w:val="0"/>
          <w:bCs w:val="0"/>
          <w:i w:val="0"/>
          <w:iCs w:val="0"/>
          <w:color w:val="auto"/>
          <w:kern w:val="2"/>
          <w:sz w:val="32"/>
          <w:szCs w:val="32"/>
          <w:highlight w:val="none"/>
          <w:vertAlign w:val="baseline"/>
          <w:lang w:val="en-US" w:eastAsia="zh-CN" w:bidi="ar-SA"/>
        </w:rPr>
        <w:t>心肌梗死、</w:t>
      </w:r>
      <w:r>
        <w:rPr>
          <w:rFonts w:hint="eastAsia" w:ascii="仿宋_GB2312" w:eastAsia="仿宋_GB2312"/>
          <w:b w:val="0"/>
          <w:bCs w:val="0"/>
          <w:color w:val="auto"/>
          <w:sz w:val="32"/>
          <w:szCs w:val="32"/>
          <w:highlight w:val="none"/>
          <w:lang w:eastAsia="zh-CN"/>
        </w:rPr>
        <w:t>右心房破裂而死亡</w:t>
      </w:r>
      <w:r>
        <w:rPr>
          <w:rFonts w:hint="eastAsia" w:ascii="仿宋_GB2312" w:eastAsia="仿宋_GB2312"/>
          <w:b w:val="0"/>
          <w:bCs w:val="0"/>
          <w:color w:val="auto"/>
          <w:sz w:val="32"/>
          <w:szCs w:val="32"/>
          <w:highlight w:val="none"/>
          <w:lang w:val="en-US" w:eastAsia="zh-CN"/>
        </w:rPr>
        <w:t>”。</w:t>
      </w:r>
    </w:p>
    <w:p w14:paraId="735812FE">
      <w:pPr>
        <w:keepNext w:val="0"/>
        <w:keepLines w:val="0"/>
        <w:pageBreakBefore w:val="0"/>
        <w:widowControl w:val="0"/>
        <w:numPr>
          <w:ilvl w:val="0"/>
          <w:numId w:val="0"/>
        </w:numPr>
        <w:kinsoku/>
        <w:wordWrap/>
        <w:overflowPunct/>
        <w:topLinePunct w:val="0"/>
        <w:autoSpaceDE/>
        <w:autoSpaceDN/>
        <w:bidi w:val="0"/>
        <w:snapToGrid w:val="0"/>
        <w:spacing w:beforeAutospacing="0" w:afterAutospacing="0" w:line="560" w:lineRule="exact"/>
        <w:ind w:firstLine="643" w:firstLineChars="200"/>
        <w:jc w:val="both"/>
        <w:textAlignment w:val="auto"/>
        <w:rPr>
          <w:rFonts w:hint="eastAsia"/>
          <w:lang w:val="en-US" w:eastAsia="zh-CN"/>
        </w:rPr>
      </w:pPr>
      <w:r>
        <w:rPr>
          <w:rFonts w:hint="default"/>
          <w:b/>
          <w:bCs/>
          <w:lang w:val="en-US" w:eastAsia="zh-CN"/>
        </w:rPr>
        <w:t>调查组认定：</w:t>
      </w:r>
      <w:r>
        <w:rPr>
          <w:rFonts w:hint="default"/>
          <w:lang w:val="en-US" w:eastAsia="zh-CN"/>
        </w:rPr>
        <w:t>根河</w:t>
      </w:r>
      <w:r>
        <w:rPr>
          <w:rFonts w:hint="eastAsia"/>
          <w:lang w:val="en-US" w:eastAsia="zh-CN"/>
        </w:rPr>
        <w:t>市呼</w:t>
      </w:r>
      <w:r>
        <w:rPr>
          <w:rFonts w:hint="default"/>
          <w:lang w:val="en-US" w:eastAsia="zh-CN"/>
        </w:rPr>
        <w:t>伦贝尔山金矿业有限公司“5·6”事故是一起因突发疾病导致的病亡事件，不属于生产安全责任事故。</w:t>
      </w:r>
    </w:p>
    <w:p w14:paraId="1B12BA21">
      <w:pPr>
        <w:pStyle w:val="6"/>
        <w:ind w:left="0" w:leftChars="0" w:firstLine="0" w:firstLineChars="0"/>
        <w:rPr>
          <w:rFonts w:hint="default" w:ascii="仿宋_GB2312" w:hAnsi="新宋体" w:eastAsia="仿宋_GB2312"/>
          <w:b w:val="0"/>
          <w:bCs w:val="0"/>
          <w:color w:val="auto"/>
          <w:sz w:val="32"/>
          <w:szCs w:val="32"/>
          <w:lang w:val="en-US" w:eastAsia="zh-CN"/>
        </w:rPr>
      </w:pPr>
    </w:p>
    <w:sectPr>
      <w:footerReference r:id="rId3" w:type="default"/>
      <w:footerReference r:id="rId4" w:type="even"/>
      <w:pgSz w:w="11906" w:h="16838"/>
      <w:pgMar w:top="1440" w:right="1800" w:bottom="1440" w:left="1800" w:header="850" w:footer="1191" w:gutter="0"/>
      <w:pgNumType w:fmt="numberInDash"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0"/>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
    <w:panose1 w:val="02010609060101010101"/>
    <w:charset w:val="86"/>
    <w:family w:val="auto"/>
    <w:pitch w:val="default"/>
    <w:sig w:usb0="800002BF" w:usb1="38CF7CFA" w:usb2="00000016" w:usb3="00000000" w:csb0="00040001" w:csb1="00000000"/>
  </w:font>
  <w:font w:name="仿宋_GB2312">
    <w:panose1 w:val="02010609030101010101"/>
    <w:charset w:val="86"/>
    <w:family w:val="modern"/>
    <w:pitch w:val="default"/>
    <w:sig w:usb0="00000001" w:usb1="080E0000" w:usb2="00000000" w:usb3="00000000" w:csb0="00040000" w:csb1="00000000"/>
  </w:font>
  <w:font w:name="楷体">
    <w:panose1 w:val="02010609060101010101"/>
    <w:charset w:val="86"/>
    <w:family w:val="modern"/>
    <w:pitch w:val="default"/>
    <w:sig w:usb0="800002BF" w:usb1="38CF7CFA" w:usb2="00000016" w:usb3="00000000" w:csb0="00040001" w:csb1="00000000"/>
  </w:font>
  <w:font w:name="方正小标宋简体">
    <w:panose1 w:val="02010601030101010101"/>
    <w:charset w:val="86"/>
    <w:family w:val="script"/>
    <w:pitch w:val="default"/>
    <w:sig w:usb0="00000001" w:usb1="080E0000" w:usb2="00000000" w:usb3="00000000" w:csb0="00040000" w:csb1="00000000"/>
  </w:font>
  <w:font w:name="CESI楷体-GB2312">
    <w:altName w:val="楷体_GB2312"/>
    <w:panose1 w:val="02000500000000000000"/>
    <w:charset w:val="86"/>
    <w:family w:val="auto"/>
    <w:pitch w:val="default"/>
    <w:sig w:usb0="00000000" w:usb1="00000000" w:usb2="00000012" w:usb3="00000000" w:csb0="0004000F" w:csb1="00000000"/>
  </w:font>
  <w:font w:name="新宋体">
    <w:panose1 w:val="02010609030101010101"/>
    <w:charset w:val="86"/>
    <w:family w:val="modern"/>
    <w:pitch w:val="default"/>
    <w:sig w:usb0="00000003" w:usb1="288F0000" w:usb2="00000006" w:usb3="00000000" w:csb0="00040001" w:csb1="00000000"/>
  </w:font>
  <w:font w:name="楷体_GB2312">
    <w:panose1 w:val="02010609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2E0117">
    <w:pPr>
      <w:pStyle w:val="7"/>
    </w:pPr>
    <w:r>
      <w:rPr>
        <w:sz w:val="18"/>
      </w:rPr>
      <mc:AlternateContent>
        <mc:Choice Requires="wps">
          <w:drawing>
            <wp:anchor distT="0" distB="0" distL="0" distR="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4098" name="文本框 9"/>
              <wp:cNvGraphicFramePr/>
              <a:graphic xmlns:a="http://schemas.openxmlformats.org/drawingml/2006/main">
                <a:graphicData uri="http://schemas.microsoft.com/office/word/2010/wordprocessingShape">
                  <wps:wsp>
                    <wps:cNvSpPr/>
                    <wps:spPr>
                      <a:xfrm>
                        <a:off x="0" y="0"/>
                        <a:ext cx="1828800" cy="1828800"/>
                      </a:xfrm>
                      <a:prstGeom prst="rect">
                        <a:avLst/>
                      </a:prstGeom>
                      <a:ln>
                        <a:noFill/>
                      </a:ln>
                    </wps:spPr>
                    <wps:txbx>
                      <w:txbxContent>
                        <w:p w14:paraId="0E2C03A6">
                          <w:pPr>
                            <w:pStyle w:val="7"/>
                            <w:rPr>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1</w:t>
                          </w:r>
                          <w:r>
                            <w:rPr>
                              <w:rFonts w:hint="eastAsia" w:ascii="宋体" w:hAnsi="宋体" w:eastAsia="宋体" w:cs="宋体"/>
                              <w:sz w:val="28"/>
                              <w:szCs w:val="28"/>
                            </w:rPr>
                            <w:fldChar w:fldCharType="end"/>
                          </w:r>
                        </w:p>
                      </w:txbxContent>
                    </wps:txbx>
                    <wps:bodyPr vert="horz" wrap="none" lIns="0" tIns="0" rIns="0" bIns="0" anchor="t" upright="0">
                      <a:spAutoFit/>
                    </wps:bodyPr>
                  </wps:wsp>
                </a:graphicData>
              </a:graphic>
            </wp:anchor>
          </w:drawing>
        </mc:Choice>
        <mc:Fallback>
          <w:pict>
            <v:rect id="文本框 9" o:spid="_x0000_s1026" o:spt="1"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Ce8yYTRAQAAngMAAA4AAABkcnMvZTJvRG9jLnhtbK1TS47TQBDdI3GH&#10;Vu+JnQihjBVnhBQNQkIw0sABOu123FL/VNWJHQ4AN2DFhj3nyjmobtsZNGxmwaZd1Z9X770qb24H&#10;a9hJAWrvar5clJwpJ32j3aHmXz7fvVpzhlG4RhjvVM3PCvnt9uWLTR8qtfKdN40CRiAOqz7UvIsx&#10;VEWBslNW4MIH5eiw9WBFpBQORQOiJ3RrilVZvil6D00ALxUi7e7GQz4hwnMAfdtqqXZeHq1ycUQF&#10;ZUQkSdjpgHyb2batkvFT26KKzNSclMa8UhGK92ktthtRHUCETsuJgngOhSearNCOil6hdiIKdgT9&#10;D5TVEjz6Ni6kt8UoJDtCKpblE28eOhFU1kJWY7iajv8PVn483QPTTc1flzfUeScs9fzy4/vl5+/L&#10;r2/sJjnUB6zo4kO4hylDCpPcoQWbviSEDdnV89VVNUQmaXO5Xq3XJRku6WxOCKd4fB4A4zvlLUtB&#10;zYHalt0Upw8Yx6vzlVTNuLQ6f6eNGU/TTpFojsRSFIf9MLHd++ZMKmnoCbzz8JWznlpec0cTzpl5&#10;78jRNB1zAHOwnwPhJD2seeTsGEAfujxJiQaGt8dIVDLPVHisNvGhtmWl04ilufg7z7cef6vtH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Ll1uVLQAAAABQEAAA8AAAAAAAAAAQAgAAAAIgAAAGRycy9k&#10;b3ducmV2LnhtbFBLAQIUABQAAAAIAIdO4kAnvMmE0QEAAJ4DAAAOAAAAAAAAAAEAIAAAAB8BAABk&#10;cnMvZTJvRG9jLnhtbFBLBQYAAAAABgAGAFkBAABiBQAAAAA=&#10;">
              <v:fill on="f" focussize="0,0"/>
              <v:stroke on="f"/>
              <v:imagedata o:title=""/>
              <o:lock v:ext="edit" aspectratio="f"/>
              <v:textbox inset="0mm,0mm,0mm,0mm" style="mso-fit-shape-to-text:t;">
                <w:txbxContent>
                  <w:p w14:paraId="0E2C03A6">
                    <w:pPr>
                      <w:pStyle w:val="7"/>
                      <w:rPr>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1</w:t>
                    </w:r>
                    <w:r>
                      <w:rPr>
                        <w:rFonts w:hint="eastAsia" w:ascii="宋体" w:hAnsi="宋体" w:eastAsia="宋体" w:cs="宋体"/>
                        <w:sz w:val="28"/>
                        <w:szCs w:val="28"/>
                      </w:rPr>
                      <w:fldChar w:fldCharType="end"/>
                    </w:r>
                  </w:p>
                </w:txbxContent>
              </v:textbox>
            </v:rect>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CCE072">
    <w:pPr>
      <w:pStyle w:val="7"/>
    </w:pPr>
    <w:r>
      <w:rPr>
        <w:sz w:val="18"/>
      </w:rPr>
      <mc:AlternateContent>
        <mc:Choice Requires="wps">
          <w:drawing>
            <wp:anchor distT="0" distB="0" distL="0" distR="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4097" name="文本框 24"/>
              <wp:cNvGraphicFramePr/>
              <a:graphic xmlns:a="http://schemas.openxmlformats.org/drawingml/2006/main">
                <a:graphicData uri="http://schemas.microsoft.com/office/word/2010/wordprocessingShape">
                  <wps:wsp>
                    <wps:cNvSpPr/>
                    <wps:spPr>
                      <a:xfrm>
                        <a:off x="0" y="0"/>
                        <a:ext cx="1828800" cy="1828800"/>
                      </a:xfrm>
                      <a:prstGeom prst="rect">
                        <a:avLst/>
                      </a:prstGeom>
                      <a:ln>
                        <a:noFill/>
                      </a:ln>
                    </wps:spPr>
                    <wps:txbx>
                      <w:txbxContent>
                        <w:p w14:paraId="04C1B142">
                          <w:pPr>
                            <w:pStyle w:val="7"/>
                            <w:rPr>
                              <w:rFonts w:hint="eastAsia" w:ascii="宋体" w:hAnsi="宋体" w:eastAsia="宋体" w:cs="宋体"/>
                              <w:sz w:val="32"/>
                              <w:szCs w:val="32"/>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- 2 -</w:t>
                          </w:r>
                          <w:r>
                            <w:rPr>
                              <w:rFonts w:hint="eastAsia" w:ascii="宋体" w:hAnsi="宋体" w:eastAsia="宋体" w:cs="宋体"/>
                              <w:sz w:val="28"/>
                              <w:szCs w:val="28"/>
                            </w:rPr>
                            <w:fldChar w:fldCharType="end"/>
                          </w:r>
                        </w:p>
                      </w:txbxContent>
                    </wps:txbx>
                    <wps:bodyPr vert="horz" wrap="none" lIns="0" tIns="0" rIns="0" bIns="0" anchor="t" upright="0">
                      <a:spAutoFit/>
                    </wps:bodyPr>
                  </wps:wsp>
                </a:graphicData>
              </a:graphic>
            </wp:anchor>
          </w:drawing>
        </mc:Choice>
        <mc:Fallback>
          <w:pict>
            <v:rect id="文本框 24" o:spid="_x0000_s1026" o:spt="1"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Ncu0sXUAQAAnwMAAA4AAABkcnMvZTJvRG9jLnhtbK1TS27bMBDdF+gd&#10;CO5ryUbQuoLlIICRokDRBkhzAJqiLAL8YYa25B6gvUFX3XTfc/kcHVKyU6SbLLKhZjjkm/ceR6vr&#10;wRp2UIDau5rPZyVnyknfaLer+cPX2zdLzjAK1wjjnar5USG/Xr9+tepDpRa+86ZRwAjEYdWHmncx&#10;hqooUHbKCpz5oBwVWw9WREphVzQgekK3pliU5dui99AE8FIh0u5mLPIJEZ4D6NtWS7Xxcm+ViyMq&#10;KCMiScJOB+TrzLZtlYxf2hZVZKbmpDTmlZpQvE1rsV6JagcidFpOFMRzKDzRZIV21PQCtRFRsD3o&#10;/6CsluDRt3EmvS1GIdkRUjEvn3hz34mgshayGsPFdHw5WPn5cAdMNzW/Kt+/48wJS29++vnj9OvP&#10;6fd3trhKFvUBKzp5H+5gypDCpHdowaYvKWFDtvV4sVUNkUnanC8Xy2VJjkuqnRPCKR6vB8D4QXnL&#10;UlBzoHfLdorDJ4zj0fOR1M24tDp/q40Zq2mnSDRHYimKw3aY2G59cySZNPUE3nn4xllPb15zRyPO&#10;mfnoyNI0HucAzsH2HAgn6WLNI2f7AHrX5VFKNDDc7CNRyTxT47HbxIfeLSudZiwNxr95PvX4X63/&#10;Al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D0E&#10;AABbQ29udGVudF9UeXBlc10ueG1sUEsBAhQACgAAAAAAh07iQAAAAAAAAAAAAAAAAAYAAAAAAAAA&#10;AAAQAAAAHwMAAF9yZWxzL1BLAQIUABQAAAAIAIdO4kCKFGY80QAAAJQBAAALAAAAAAAAAAEAIAAA&#10;AEMDAABfcmVscy8ucmVsc1BLAQIUAAoAAAAAAIdO4kAAAAAAAAAAAAAAAAAEAAAAAAAAAAAAEAAA&#10;AAAAAABkcnMvUEsBAhQAFAAAAAgAh07iQLl1uVLQAAAABQEAAA8AAAAAAAAAAQAgAAAAIgAAAGRy&#10;cy9kb3ducmV2LnhtbFBLAQIUABQAAAAIAIdO4kDXLtLF1AEAAJ8DAAAOAAAAAAAAAAEAIAAAAB8B&#10;AABkcnMvZTJvRG9jLnhtbFBLBQYAAAAABgAGAFkBAABlBQAAAAA=&#10;">
              <v:fill on="f" focussize="0,0"/>
              <v:stroke on="f"/>
              <v:imagedata o:title=""/>
              <o:lock v:ext="edit" aspectratio="f"/>
              <v:textbox inset="0mm,0mm,0mm,0mm" style="mso-fit-shape-to-text:t;">
                <w:txbxContent>
                  <w:p w14:paraId="04C1B142">
                    <w:pPr>
                      <w:pStyle w:val="7"/>
                      <w:rPr>
                        <w:rFonts w:hint="eastAsia" w:ascii="宋体" w:hAnsi="宋体" w:eastAsia="宋体" w:cs="宋体"/>
                        <w:sz w:val="32"/>
                        <w:szCs w:val="32"/>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- 2 -</w:t>
                    </w:r>
                    <w:r>
                      <w:rPr>
                        <w:rFonts w:hint="eastAsia" w:ascii="宋体" w:hAnsi="宋体" w:eastAsia="宋体" w:cs="宋体"/>
                        <w:sz w:val="28"/>
                        <w:szCs w:val="28"/>
                      </w:rPr>
                      <w:fldChar w:fldCharType="end"/>
                    </w:r>
                  </w:p>
                </w:txbxContent>
              </v:textbox>
            </v:rect>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0"/>
    <w:multiLevelType w:val="singleLevel"/>
    <w:tmpl w:val="00000000"/>
    <w:lvl w:ilvl="0" w:tentative="0">
      <w:start w:val="1"/>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documentProtection w:enforcement="0"/>
  <w:defaultTabStop w:val="420"/>
  <w:evenAndOddHeaders w:val="1"/>
  <w:drawingGridHorizontalSpacing w:val="158"/>
  <w:drawingGridVerticalSpacing w:val="220"/>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166A2E"/>
    <w:rsid w:val="44154DAD"/>
    <w:rsid w:val="49B2502F"/>
    <w:rsid w:val="59B60BC2"/>
    <w:rsid w:val="5A8A3212"/>
    <w:rsid w:val="BAEDB88C"/>
    <w:rsid w:val="CF7DECA5"/>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1"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semiHidden="0"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semiHidden="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仿宋" w:cs="宋体"/>
      <w:kern w:val="2"/>
      <w:sz w:val="32"/>
      <w:szCs w:val="24"/>
      <w:lang w:val="en-US" w:eastAsia="zh-CN" w:bidi="ar-SA"/>
    </w:rPr>
  </w:style>
  <w:style w:type="paragraph" w:styleId="2">
    <w:name w:val="heading 1"/>
    <w:basedOn w:val="1"/>
    <w:next w:val="1"/>
    <w:qFormat/>
    <w:uiPriority w:val="9"/>
    <w:pPr>
      <w:keepNext/>
      <w:keepLines/>
      <w:spacing w:before="340" w:after="330" w:line="578" w:lineRule="auto"/>
      <w:outlineLvl w:val="0"/>
    </w:pPr>
    <w:rPr>
      <w:b/>
      <w:bCs/>
      <w:kern w:val="44"/>
      <w:sz w:val="44"/>
      <w:szCs w:val="44"/>
    </w:rPr>
  </w:style>
  <w:style w:type="character" w:default="1" w:styleId="13">
    <w:name w:val="Default Paragraph Font"/>
    <w:qFormat/>
    <w:uiPriority w:val="0"/>
  </w:style>
  <w:style w:type="table" w:default="1" w:styleId="12">
    <w:name w:val="Normal Table"/>
    <w:qFormat/>
    <w:uiPriority w:val="0"/>
    <w:tblPr>
      <w:tblCellMar>
        <w:top w:w="0" w:type="dxa"/>
        <w:left w:w="108" w:type="dxa"/>
        <w:bottom w:w="0" w:type="dxa"/>
        <w:right w:w="108" w:type="dxa"/>
      </w:tblCellMar>
    </w:tblPr>
  </w:style>
  <w:style w:type="paragraph" w:styleId="3">
    <w:name w:val="Normal Indent"/>
    <w:basedOn w:val="1"/>
    <w:qFormat/>
    <w:uiPriority w:val="1"/>
    <w:pPr>
      <w:ind w:firstLine="420" w:firstLineChars="200"/>
    </w:pPr>
    <w:rPr>
      <w:rFonts w:eastAsia="仿宋"/>
      <w:sz w:val="32"/>
    </w:rPr>
  </w:style>
  <w:style w:type="paragraph" w:styleId="4">
    <w:name w:val="annotation text"/>
    <w:basedOn w:val="1"/>
    <w:qFormat/>
    <w:uiPriority w:val="0"/>
    <w:pPr>
      <w:jc w:val="left"/>
    </w:pPr>
  </w:style>
  <w:style w:type="paragraph" w:styleId="5">
    <w:name w:val="Body Text Indent"/>
    <w:basedOn w:val="1"/>
    <w:next w:val="6"/>
    <w:qFormat/>
    <w:uiPriority w:val="0"/>
    <w:pPr>
      <w:spacing w:after="120"/>
      <w:ind w:left="420"/>
    </w:pPr>
  </w:style>
  <w:style w:type="paragraph" w:styleId="6">
    <w:name w:val="Body Text First Indent 2"/>
    <w:basedOn w:val="5"/>
    <w:qFormat/>
    <w:uiPriority w:val="0"/>
    <w:pPr>
      <w:ind w:firstLine="420"/>
    </w:pPr>
  </w:style>
  <w:style w:type="paragraph" w:styleId="7">
    <w:name w:val="footer"/>
    <w:basedOn w:val="1"/>
    <w:qFormat/>
    <w:uiPriority w:val="0"/>
    <w:pPr>
      <w:tabs>
        <w:tab w:val="center" w:pos="4153"/>
        <w:tab w:val="right" w:pos="8306"/>
      </w:tabs>
      <w:snapToGrid w:val="0"/>
      <w:jc w:val="left"/>
    </w:pPr>
    <w:rPr>
      <w:sz w:val="18"/>
    </w:rPr>
  </w:style>
  <w:style w:type="paragraph" w:styleId="8">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9">
    <w:name w:val="toc 1"/>
    <w:basedOn w:val="1"/>
    <w:next w:val="1"/>
    <w:qFormat/>
    <w:uiPriority w:val="0"/>
  </w:style>
  <w:style w:type="paragraph" w:styleId="10">
    <w:name w:val="toc 2"/>
    <w:basedOn w:val="1"/>
    <w:next w:val="1"/>
    <w:qFormat/>
    <w:uiPriority w:val="0"/>
    <w:pPr>
      <w:ind w:left="420" w:leftChars="200"/>
    </w:pPr>
  </w:style>
  <w:style w:type="paragraph" w:styleId="11">
    <w:name w:val="Normal (Web)"/>
    <w:basedOn w:val="1"/>
    <w:qFormat/>
    <w:uiPriority w:val="0"/>
    <w:pPr>
      <w:spacing w:before="100" w:beforeAutospacing="1" w:after="100" w:afterAutospacing="1"/>
      <w:ind w:left="0" w:right="0"/>
      <w:jc w:val="left"/>
    </w:pPr>
    <w:rPr>
      <w:kern w:val="0"/>
      <w:sz w:val="24"/>
      <w:lang w:val="en-US" w:eastAsia="zh-CN"/>
    </w:rPr>
  </w:style>
  <w:style w:type="character" w:styleId="14">
    <w:name w:val="Hyperlink"/>
    <w:basedOn w:val="13"/>
    <w:qFormat/>
    <w:uiPriority w:val="0"/>
    <w:rPr>
      <w:color w:val="0000FF"/>
      <w:u w:val="single"/>
    </w:rPr>
  </w:style>
  <w:style w:type="paragraph" w:customStyle="1" w:styleId="15">
    <w:name w:val="XN正文"/>
    <w:basedOn w:val="16"/>
    <w:qFormat/>
    <w:uiPriority w:val="0"/>
    <w:pPr>
      <w:spacing w:line="560" w:lineRule="exact"/>
      <w:ind w:firstLine="560"/>
      <w:outlineLvl w:val="9"/>
    </w:pPr>
    <w:rPr>
      <w:rFonts w:cs="仿宋"/>
      <w:color w:val="000000"/>
      <w:sz w:val="28"/>
    </w:rPr>
  </w:style>
  <w:style w:type="paragraph" w:customStyle="1" w:styleId="16">
    <w:name w:val="XN4级"/>
    <w:basedOn w:val="17"/>
    <w:next w:val="1"/>
    <w:qFormat/>
    <w:uiPriority w:val="0"/>
    <w:pPr>
      <w:ind w:firstLine="640"/>
      <w:jc w:val="both"/>
      <w:outlineLvl w:val="3"/>
    </w:pPr>
    <w:rPr>
      <w:rFonts w:eastAsia="仿宋_GB2312"/>
    </w:rPr>
  </w:style>
  <w:style w:type="paragraph" w:customStyle="1" w:styleId="17">
    <w:name w:val="XN3级"/>
    <w:basedOn w:val="18"/>
    <w:next w:val="1"/>
    <w:qFormat/>
    <w:uiPriority w:val="0"/>
    <w:pPr>
      <w:outlineLvl w:val="2"/>
    </w:pPr>
    <w:rPr>
      <w:rFonts w:ascii="仿宋" w:hAnsi="仿宋" w:eastAsia="楷体"/>
      <w:szCs w:val="28"/>
    </w:rPr>
  </w:style>
  <w:style w:type="paragraph" w:customStyle="1" w:styleId="18">
    <w:name w:val="XN2级"/>
    <w:basedOn w:val="19"/>
    <w:next w:val="1"/>
    <w:qFormat/>
    <w:uiPriority w:val="0"/>
    <w:pPr>
      <w:spacing w:after="0" w:line="640" w:lineRule="exact"/>
      <w:ind w:firstLine="200" w:firstLineChars="200"/>
      <w:jc w:val="left"/>
      <w:outlineLvl w:val="1"/>
    </w:pPr>
    <w:rPr>
      <w:rFonts w:eastAsia="黑体"/>
      <w:sz w:val="32"/>
    </w:rPr>
  </w:style>
  <w:style w:type="paragraph" w:customStyle="1" w:styleId="19">
    <w:name w:val="XN1级"/>
    <w:basedOn w:val="2"/>
    <w:qFormat/>
    <w:uiPriority w:val="0"/>
    <w:pPr>
      <w:keepNext w:val="0"/>
      <w:keepLines w:val="0"/>
      <w:spacing w:before="0" w:after="100" w:afterLines="100" w:line="580" w:lineRule="exact"/>
      <w:contextualSpacing/>
      <w:jc w:val="center"/>
    </w:pPr>
    <w:rPr>
      <w:rFonts w:eastAsia="方正小标宋简体"/>
      <w:b w:val="0"/>
    </w:rPr>
  </w:style>
  <w:style w:type="paragraph" w:customStyle="1" w:styleId="20">
    <w:name w:val="WPSOffice手动目录 1"/>
    <w:qFormat/>
    <w:uiPriority w:val="0"/>
    <w:pPr>
      <w:ind w:leftChars="0"/>
    </w:pPr>
    <w:rPr>
      <w:rFonts w:ascii="Calibri" w:hAnsi="Calibri" w:eastAsia="宋体" w:cs="宋体"/>
      <w:sz w:val="20"/>
      <w:szCs w:val="20"/>
    </w:rPr>
  </w:style>
  <w:style w:type="paragraph" w:customStyle="1" w:styleId="21">
    <w:name w:val="WPSOffice手动目录 2"/>
    <w:qFormat/>
    <w:uiPriority w:val="0"/>
    <w:pPr>
      <w:ind w:leftChars="200"/>
    </w:pPr>
    <w:rPr>
      <w:rFonts w:ascii="Calibri" w:hAnsi="Calibri" w:eastAsia="宋体" w:cs="宋体"/>
      <w:sz w:val="20"/>
      <w:szCs w:val="20"/>
    </w:rPr>
  </w:style>
  <w:style w:type="paragraph" w:customStyle="1" w:styleId="22">
    <w:name w:val="law-editor-text"/>
    <w:basedOn w:val="1"/>
    <w:qFormat/>
    <w:uiPriority w:val="0"/>
    <w:pPr>
      <w:widowControl/>
      <w:spacing w:before="100" w:beforeAutospacing="1" w:after="100" w:afterAutospacing="1"/>
      <w:jc w:val="left"/>
    </w:pPr>
    <w:rPr>
      <w:rFonts w:ascii="宋体" w:hAnsi="宋体" w:cs="宋体"/>
      <w:kern w:val="0"/>
      <w:sz w:val="24"/>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4</Pages>
  <Words>1975</Words>
  <Characters>2115</Characters>
  <Paragraphs>31</Paragraphs>
  <TotalTime>9</TotalTime>
  <ScaleCrop>false</ScaleCrop>
  <LinksUpToDate>false</LinksUpToDate>
  <CharactersWithSpaces>2118</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2014-11-11T12:08:00Z</dcterms:created>
  <dc:creator>zhaopingxin</dc:creator>
  <cp:lastModifiedBy>WPS_1602149067</cp:lastModifiedBy>
  <cp:lastPrinted>2025-06-24T19:01:00Z</cp:lastPrinted>
  <dcterms:modified xsi:type="dcterms:W3CDTF">2025-07-24T02:02:07Z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ICV">
    <vt:lpwstr>B75BD90CDBF941FEB519FE9BE78FEEB7_13</vt:lpwstr>
  </property>
  <property fmtid="{D5CDD505-2E9C-101B-9397-08002B2CF9AE}" pid="4" name="KSOTemplateDocerSaveRecord">
    <vt:lpwstr>eyJoZGlkIjoiNWM4MDVkMDAzYzY1NmY2YzIxNWU0N2M3MmRmYmVkNzciLCJ1c2VySWQiOiIxMTI4NTg5MTM4In0=</vt:lpwstr>
  </property>
</Properties>
</file>