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F16AC">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284A1C9C">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34407063">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36E86032">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66F2EF3B">
      <w:pPr>
        <w:keepNext w:val="0"/>
        <w:keepLines w:val="0"/>
        <w:pageBreakBefore w:val="0"/>
        <w:kinsoku/>
        <w:wordWrap/>
        <w:overflowPunct/>
        <w:topLinePunct w:val="0"/>
        <w:autoSpaceDE/>
        <w:autoSpaceDN/>
        <w:bidi w:val="0"/>
        <w:adjustRightInd/>
        <w:snapToGrid w:val="0"/>
        <w:jc w:val="center"/>
        <w:textAlignment w:val="auto"/>
        <w:rPr>
          <w:rFonts w:hint="eastAsia" w:ascii="宋体" w:hAnsi="宋体" w:eastAsia="宋体" w:cs="宋体"/>
          <w:b/>
          <w:bCs/>
          <w:snapToGrid w:val="0"/>
          <w:color w:val="auto"/>
          <w:kern w:val="0"/>
          <w:sz w:val="44"/>
          <w:szCs w:val="44"/>
          <w:highlight w:val="none"/>
          <w:lang w:val="en-US" w:eastAsia="zh-CN"/>
        </w:rPr>
      </w:pPr>
      <w:r>
        <w:rPr>
          <w:rFonts w:hint="eastAsia" w:ascii="宋体" w:hAnsi="宋体" w:eastAsia="宋体" w:cs="宋体"/>
          <w:b/>
          <w:bCs/>
          <w:snapToGrid w:val="0"/>
          <w:color w:val="auto"/>
          <w:kern w:val="0"/>
          <w:sz w:val="44"/>
          <w:szCs w:val="44"/>
          <w:highlight w:val="none"/>
          <w:lang w:val="en-US" w:eastAsia="zh-CN"/>
        </w:rPr>
        <w:t>根河满归呼伦贝尔市盛佳工程勘察有限责任公司“8·31”一般车辆伤害</w:t>
      </w:r>
    </w:p>
    <w:p w14:paraId="4FAB59F6">
      <w:pPr>
        <w:keepNext w:val="0"/>
        <w:keepLines w:val="0"/>
        <w:pageBreakBefore w:val="0"/>
        <w:kinsoku/>
        <w:wordWrap/>
        <w:overflowPunct/>
        <w:topLinePunct w:val="0"/>
        <w:autoSpaceDE/>
        <w:autoSpaceDN/>
        <w:bidi w:val="0"/>
        <w:adjustRightInd/>
        <w:snapToGrid w:val="0"/>
        <w:jc w:val="center"/>
        <w:textAlignment w:val="auto"/>
        <w:rPr>
          <w:rFonts w:hint="eastAsia" w:ascii="宋体" w:hAnsi="宋体" w:eastAsia="宋体" w:cs="宋体"/>
          <w:b/>
          <w:bCs/>
          <w:snapToGrid w:val="0"/>
          <w:color w:val="auto"/>
          <w:kern w:val="0"/>
          <w:sz w:val="44"/>
          <w:szCs w:val="44"/>
          <w:highlight w:val="none"/>
          <w:lang w:val="en-US" w:eastAsia="zh-CN"/>
        </w:rPr>
      </w:pPr>
      <w:r>
        <w:rPr>
          <w:rFonts w:hint="eastAsia" w:ascii="宋体" w:hAnsi="宋体" w:eastAsia="宋体" w:cs="宋体"/>
          <w:b/>
          <w:bCs/>
          <w:snapToGrid w:val="0"/>
          <w:color w:val="auto"/>
          <w:kern w:val="0"/>
          <w:sz w:val="44"/>
          <w:szCs w:val="44"/>
          <w:highlight w:val="none"/>
          <w:lang w:val="en-US" w:eastAsia="zh-CN"/>
        </w:rPr>
        <w:t>生产安全事故报告</w:t>
      </w:r>
    </w:p>
    <w:p w14:paraId="36DA540E">
      <w:pPr>
        <w:pStyle w:val="13"/>
        <w:keepNext w:val="0"/>
        <w:keepLines w:val="0"/>
        <w:pageBreakBefore w:val="0"/>
        <w:kinsoku/>
        <w:wordWrap/>
        <w:overflowPunct/>
        <w:topLinePunct w:val="0"/>
        <w:autoSpaceDE/>
        <w:autoSpaceDN/>
        <w:bidi w:val="0"/>
        <w:adjustRightInd/>
        <w:snapToGrid w:val="0"/>
        <w:spacing w:after="0"/>
        <w:jc w:val="both"/>
        <w:textAlignment w:val="auto"/>
        <w:rPr>
          <w:rFonts w:hint="eastAsia" w:ascii="宋体" w:hAnsi="宋体" w:eastAsia="宋体" w:cs="宋体"/>
          <w:b/>
          <w:bCs/>
          <w:snapToGrid w:val="0"/>
          <w:color w:val="auto"/>
          <w:kern w:val="0"/>
          <w:sz w:val="44"/>
          <w:szCs w:val="44"/>
          <w:highlight w:val="none"/>
          <w:lang w:val="en-US" w:eastAsia="zh-CN"/>
        </w:rPr>
      </w:pPr>
    </w:p>
    <w:p w14:paraId="00C55F6C">
      <w:pPr>
        <w:pStyle w:val="13"/>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7723CE58">
      <w:pPr>
        <w:pStyle w:val="13"/>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4715865A">
      <w:pPr>
        <w:keepNext w:val="0"/>
        <w:keepLines w:val="0"/>
        <w:pageBreakBefore w:val="0"/>
        <w:kinsoku/>
        <w:wordWrap/>
        <w:overflowPunct/>
        <w:topLinePunct w:val="0"/>
        <w:autoSpaceDE/>
        <w:autoSpaceDN/>
        <w:bidi w:val="0"/>
        <w:adjustRightInd/>
        <w:snapToGrid w:val="0"/>
        <w:spacing w:line="360" w:lineRule="auto"/>
        <w:ind w:firstLine="1285" w:firstLineChars="400"/>
        <w:jc w:val="both"/>
        <w:textAlignment w:val="auto"/>
        <w:rPr>
          <w:rFonts w:ascii="仿宋" w:hAnsi="仿宋" w:eastAsia="仿宋" w:cs="仿宋"/>
          <w:b/>
          <w:snapToGrid w:val="0"/>
          <w:color w:val="auto"/>
          <w:kern w:val="0"/>
          <w:sz w:val="32"/>
          <w:szCs w:val="32"/>
          <w:highlight w:val="none"/>
        </w:rPr>
      </w:pPr>
      <w:r>
        <w:rPr>
          <w:rFonts w:hint="eastAsia" w:ascii="仿宋" w:hAnsi="仿宋" w:eastAsia="仿宋" w:cs="仿宋"/>
          <w:b/>
          <w:snapToGrid w:val="0"/>
          <w:color w:val="auto"/>
          <w:kern w:val="0"/>
          <w:sz w:val="32"/>
          <w:szCs w:val="32"/>
          <w:highlight w:val="none"/>
        </w:rPr>
        <w:t>编制单位：</w:t>
      </w:r>
      <w:r>
        <w:rPr>
          <w:rFonts w:hint="eastAsia" w:ascii="仿宋" w:hAnsi="仿宋" w:cs="仿宋"/>
          <w:b/>
          <w:snapToGrid w:val="0"/>
          <w:color w:val="auto"/>
          <w:kern w:val="0"/>
          <w:sz w:val="32"/>
          <w:szCs w:val="32"/>
          <w:highlight w:val="none"/>
          <w:lang w:val="en-US" w:eastAsia="zh-CN"/>
        </w:rPr>
        <w:t>根河</w:t>
      </w:r>
      <w:r>
        <w:rPr>
          <w:rFonts w:hint="eastAsia" w:ascii="仿宋" w:hAnsi="仿宋" w:eastAsia="仿宋" w:cs="仿宋"/>
          <w:b/>
          <w:snapToGrid w:val="0"/>
          <w:color w:val="auto"/>
          <w:kern w:val="0"/>
          <w:sz w:val="32"/>
          <w:szCs w:val="32"/>
          <w:highlight w:val="none"/>
        </w:rPr>
        <w:t>市人民政府事故调查组</w:t>
      </w:r>
    </w:p>
    <w:p w14:paraId="4309F141">
      <w:pPr>
        <w:pStyle w:val="13"/>
        <w:keepNext w:val="0"/>
        <w:keepLines w:val="0"/>
        <w:pageBreakBefore w:val="0"/>
        <w:kinsoku/>
        <w:wordWrap/>
        <w:overflowPunct/>
        <w:topLinePunct w:val="0"/>
        <w:autoSpaceDE/>
        <w:autoSpaceDN/>
        <w:bidi w:val="0"/>
        <w:adjustRightInd/>
        <w:snapToGrid w:val="0"/>
        <w:spacing w:after="0"/>
        <w:ind w:left="0" w:firstLine="1285" w:firstLineChars="400"/>
        <w:jc w:val="both"/>
        <w:textAlignment w:val="auto"/>
        <w:rPr>
          <w:rFonts w:hint="eastAsia" w:ascii="宋体" w:hAnsi="宋体" w:eastAsia="仿宋" w:cs="宋体"/>
          <w:b/>
          <w:bCs/>
          <w:snapToGrid w:val="0"/>
          <w:color w:val="auto"/>
          <w:kern w:val="0"/>
          <w:sz w:val="36"/>
          <w:szCs w:val="36"/>
          <w:highlight w:val="none"/>
          <w:lang w:val="en-US" w:eastAsia="zh-CN"/>
        </w:rPr>
      </w:pPr>
      <w:r>
        <w:rPr>
          <w:rFonts w:hint="eastAsia" w:ascii="仿宋" w:hAnsi="仿宋" w:eastAsia="仿宋" w:cs="仿宋"/>
          <w:b/>
          <w:snapToGrid w:val="0"/>
          <w:color w:val="auto"/>
          <w:kern w:val="0"/>
          <w:sz w:val="32"/>
          <w:szCs w:val="32"/>
          <w:highlight w:val="none"/>
        </w:rPr>
        <w:t>编制日期：202</w:t>
      </w:r>
      <w:r>
        <w:rPr>
          <w:rFonts w:hint="eastAsia" w:ascii="仿宋" w:hAnsi="仿宋" w:cs="仿宋"/>
          <w:b/>
          <w:snapToGrid w:val="0"/>
          <w:color w:val="auto"/>
          <w:kern w:val="0"/>
          <w:sz w:val="32"/>
          <w:szCs w:val="32"/>
          <w:highlight w:val="none"/>
          <w:lang w:val="en-US" w:eastAsia="zh-CN"/>
        </w:rPr>
        <w:t>5</w:t>
      </w:r>
      <w:r>
        <w:rPr>
          <w:rFonts w:hint="eastAsia" w:ascii="仿宋" w:hAnsi="仿宋" w:eastAsia="仿宋" w:cs="仿宋"/>
          <w:b/>
          <w:snapToGrid w:val="0"/>
          <w:color w:val="auto"/>
          <w:kern w:val="0"/>
          <w:sz w:val="32"/>
          <w:szCs w:val="32"/>
          <w:highlight w:val="none"/>
        </w:rPr>
        <w:t>年</w:t>
      </w:r>
      <w:r>
        <w:rPr>
          <w:rFonts w:hint="eastAsia" w:ascii="仿宋" w:hAnsi="仿宋" w:cs="仿宋"/>
          <w:b/>
          <w:snapToGrid w:val="0"/>
          <w:color w:val="auto"/>
          <w:kern w:val="0"/>
          <w:sz w:val="32"/>
          <w:szCs w:val="32"/>
          <w:highlight w:val="none"/>
          <w:lang w:val="en-US" w:eastAsia="zh-CN"/>
        </w:rPr>
        <w:t>12</w:t>
      </w:r>
      <w:r>
        <w:rPr>
          <w:rFonts w:hint="eastAsia" w:ascii="仿宋" w:hAnsi="仿宋" w:eastAsia="仿宋" w:cs="仿宋"/>
          <w:b/>
          <w:snapToGrid w:val="0"/>
          <w:color w:val="auto"/>
          <w:kern w:val="0"/>
          <w:sz w:val="32"/>
          <w:szCs w:val="32"/>
          <w:highlight w:val="none"/>
        </w:rPr>
        <w:t>月</w:t>
      </w:r>
      <w:r>
        <w:rPr>
          <w:rFonts w:hint="eastAsia" w:ascii="仿宋" w:hAnsi="仿宋" w:cs="仿宋"/>
          <w:b/>
          <w:snapToGrid w:val="0"/>
          <w:color w:val="auto"/>
          <w:kern w:val="0"/>
          <w:sz w:val="32"/>
          <w:szCs w:val="32"/>
          <w:highlight w:val="none"/>
          <w:lang w:val="en-US" w:eastAsia="zh-CN"/>
        </w:rPr>
        <w:t>8日</w:t>
      </w:r>
    </w:p>
    <w:p w14:paraId="43814A5E">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3BF07DE5">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3E4BAE35">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02D204E9">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30C8CB74">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sectPr>
          <w:pgSz w:w="11906" w:h="16838"/>
          <w:pgMar w:top="1440" w:right="1800" w:bottom="1440" w:left="1800" w:header="851" w:footer="992" w:gutter="0"/>
          <w:pgNumType w:fmt="numberInDash"/>
          <w:cols w:space="425" w:num="1"/>
          <w:docGrid w:type="lines" w:linePitch="312" w:charSpace="0"/>
        </w:sectPr>
      </w:pPr>
    </w:p>
    <w:sdt>
      <w:sdtPr>
        <w:rPr>
          <w:rFonts w:hint="eastAsia" w:ascii="方正小标宋简体" w:hAnsi="方正小标宋简体" w:eastAsia="方正小标宋简体" w:cs="方正小标宋简体"/>
          <w:b w:val="0"/>
          <w:bCs w:val="0"/>
          <w:snapToGrid w:val="0"/>
          <w:color w:val="auto"/>
          <w:kern w:val="0"/>
          <w:sz w:val="44"/>
          <w:szCs w:val="44"/>
          <w:highlight w:val="none"/>
          <w:lang w:val="en-US" w:eastAsia="zh-CN" w:bidi="ar-SA"/>
        </w:rPr>
        <w:id w:val="147452754"/>
        <w15:color w:val="DBDBDB"/>
        <w:docPartObj>
          <w:docPartGallery w:val="Table of Contents"/>
          <w:docPartUnique/>
        </w:docPartObj>
      </w:sdtPr>
      <w:sdtEndPr>
        <w:rPr>
          <w:rFonts w:hint="eastAsia" w:ascii="宋体" w:hAnsi="宋体" w:eastAsia="宋体" w:cs="宋体"/>
          <w:b/>
          <w:bCs/>
          <w:snapToGrid w:val="0"/>
          <w:color w:val="auto"/>
          <w:kern w:val="0"/>
          <w:sz w:val="21"/>
          <w:szCs w:val="44"/>
          <w:highlight w:val="none"/>
          <w:lang w:val="en-US" w:eastAsia="zh-CN" w:bidi="ar-SA"/>
        </w:rPr>
      </w:sdtEndPr>
      <w:sdtContent>
        <w:p w14:paraId="0F5F7AEE">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center"/>
            <w:textAlignment w:val="auto"/>
            <w:rPr>
              <w:rFonts w:hint="eastAsia" w:ascii="方正小标宋简体" w:hAnsi="方正小标宋简体" w:eastAsia="方正小标宋简体" w:cs="方正小标宋简体"/>
              <w:b w:val="0"/>
              <w:bCs w:val="0"/>
              <w:snapToGrid w:val="0"/>
              <w:color w:val="auto"/>
              <w:kern w:val="0"/>
              <w:sz w:val="44"/>
              <w:szCs w:val="44"/>
              <w:highlight w:val="none"/>
            </w:rPr>
          </w:pPr>
          <w:r>
            <w:rPr>
              <w:rFonts w:hint="eastAsia" w:ascii="方正小标宋简体" w:hAnsi="方正小标宋简体" w:eastAsia="方正小标宋简体" w:cs="方正小标宋简体"/>
              <w:b w:val="0"/>
              <w:bCs w:val="0"/>
              <w:snapToGrid w:val="0"/>
              <w:color w:val="auto"/>
              <w:kern w:val="0"/>
              <w:sz w:val="44"/>
              <w:szCs w:val="44"/>
              <w:highlight w:val="none"/>
            </w:rPr>
            <w:t>目</w:t>
          </w:r>
          <w:r>
            <w:rPr>
              <w:rFonts w:hint="eastAsia" w:ascii="方正小标宋简体" w:hAnsi="方正小标宋简体" w:eastAsia="方正小标宋简体" w:cs="方正小标宋简体"/>
              <w:b w:val="0"/>
              <w:bCs w:val="0"/>
              <w:snapToGrid w:val="0"/>
              <w:color w:val="auto"/>
              <w:kern w:val="0"/>
              <w:sz w:val="44"/>
              <w:szCs w:val="44"/>
              <w:highlight w:val="none"/>
              <w:lang w:val="en-US" w:eastAsia="zh-CN"/>
            </w:rPr>
            <w:t xml:space="preserve">  </w:t>
          </w:r>
          <w:r>
            <w:rPr>
              <w:rFonts w:hint="eastAsia" w:ascii="方正小标宋简体" w:hAnsi="方正小标宋简体" w:eastAsia="方正小标宋简体" w:cs="方正小标宋简体"/>
              <w:b w:val="0"/>
              <w:bCs w:val="0"/>
              <w:snapToGrid w:val="0"/>
              <w:color w:val="auto"/>
              <w:kern w:val="0"/>
              <w:sz w:val="44"/>
              <w:szCs w:val="44"/>
              <w:highlight w:val="none"/>
            </w:rPr>
            <w:t>录</w:t>
          </w:r>
        </w:p>
        <w:p w14:paraId="40A7C1BF">
          <w:pPr>
            <w:pStyle w:val="9"/>
            <w:tabs>
              <w:tab w:val="right" w:leader="dot" w:pos="8306"/>
            </w:tabs>
          </w:pPr>
          <w:r>
            <w:rPr>
              <w:rFonts w:hint="eastAsia" w:ascii="仿宋" w:hAnsi="仿宋" w:eastAsia="仿宋" w:cs="仿宋"/>
              <w:b/>
              <w:bCs/>
              <w:snapToGrid w:val="0"/>
              <w:color w:val="auto"/>
              <w:kern w:val="0"/>
              <w:sz w:val="44"/>
              <w:szCs w:val="44"/>
              <w:highlight w:val="none"/>
              <w:lang w:val="en-US" w:eastAsia="zh-CN"/>
            </w:rPr>
            <w:fldChar w:fldCharType="begin"/>
          </w:r>
          <w:r>
            <w:rPr>
              <w:rFonts w:hint="eastAsia" w:ascii="仿宋" w:hAnsi="仿宋" w:eastAsia="仿宋" w:cs="仿宋"/>
              <w:b/>
              <w:bCs/>
              <w:snapToGrid w:val="0"/>
              <w:color w:val="auto"/>
              <w:kern w:val="0"/>
              <w:sz w:val="44"/>
              <w:szCs w:val="44"/>
              <w:highlight w:val="none"/>
              <w:lang w:val="en-US" w:eastAsia="zh-CN"/>
            </w:rPr>
            <w:instrText xml:space="preserve">TOC \o "1-2" \h \u </w:instrText>
          </w:r>
          <w:r>
            <w:rPr>
              <w:rFonts w:hint="eastAsia" w:ascii="仿宋" w:hAnsi="仿宋" w:eastAsia="仿宋" w:cs="仿宋"/>
              <w:b/>
              <w:bCs/>
              <w:snapToGrid w:val="0"/>
              <w:color w:val="auto"/>
              <w:kern w:val="0"/>
              <w:sz w:val="44"/>
              <w:szCs w:val="44"/>
              <w:highlight w:val="none"/>
              <w:lang w:val="en-US" w:eastAsia="zh-CN"/>
            </w:rPr>
            <w:fldChar w:fldCharType="separate"/>
          </w: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_Toc29729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一、报告开篇和事故性质认定</w:t>
          </w:r>
          <w:r>
            <w:tab/>
          </w:r>
          <w:r>
            <w:fldChar w:fldCharType="begin"/>
          </w:r>
          <w:r>
            <w:instrText xml:space="preserve"> PAGEREF _Toc29729 \h </w:instrText>
          </w:r>
          <w:r>
            <w:fldChar w:fldCharType="separate"/>
          </w:r>
          <w:r>
            <w:t>- 1 -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2CAC9C2D">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_Toc28550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二、事故基本情况</w:t>
          </w:r>
          <w:r>
            <w:tab/>
          </w:r>
          <w:r>
            <w:fldChar w:fldCharType="begin"/>
          </w:r>
          <w:r>
            <w:instrText xml:space="preserve"> PAGEREF _Toc28550 \h </w:instrText>
          </w:r>
          <w:r>
            <w:fldChar w:fldCharType="separate"/>
          </w:r>
          <w:r>
            <w:t>- 2 -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307302C">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_Toc19215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rPr>
            <w:t>（一）内蒙古自治区根河市满归面包山多金属矿勘探项目情况</w:t>
          </w:r>
          <w:r>
            <w:tab/>
          </w:r>
          <w:r>
            <w:fldChar w:fldCharType="begin"/>
          </w:r>
          <w:r>
            <w:instrText xml:space="preserve"> PAGEREF _Toc19215 \h </w:instrText>
          </w:r>
          <w:r>
            <w:fldChar w:fldCharType="separate"/>
          </w:r>
          <w:r>
            <w:t>- 2 -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66D0D49">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_Toc60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rPr>
            <w:t>（</w:t>
          </w:r>
          <w:r>
            <w:rPr>
              <w:rFonts w:hint="eastAsia" w:ascii="CESI楷体-GB2312" w:hAnsi="CESI楷体-GB2312" w:eastAsia="CESI楷体-GB2312" w:cs="CESI楷体-GB2312"/>
              <w:bCs w:val="0"/>
              <w:snapToGrid w:val="0"/>
              <w:kern w:val="0"/>
              <w:szCs w:val="32"/>
              <w:highlight w:val="none"/>
              <w:lang w:eastAsia="zh-CN"/>
            </w:rPr>
            <w:t>二</w:t>
          </w:r>
          <w:r>
            <w:rPr>
              <w:rFonts w:hint="eastAsia" w:ascii="CESI楷体-GB2312" w:hAnsi="CESI楷体-GB2312" w:eastAsia="CESI楷体-GB2312" w:cs="CESI楷体-GB2312"/>
              <w:bCs w:val="0"/>
              <w:snapToGrid w:val="0"/>
              <w:kern w:val="0"/>
              <w:szCs w:val="32"/>
              <w:highlight w:val="none"/>
            </w:rPr>
            <w:t>）事故</w:t>
          </w:r>
          <w:r>
            <w:rPr>
              <w:rFonts w:hint="eastAsia" w:ascii="CESI楷体-GB2312" w:hAnsi="CESI楷体-GB2312" w:eastAsia="CESI楷体-GB2312" w:cs="CESI楷体-GB2312"/>
              <w:bCs w:val="0"/>
              <w:snapToGrid w:val="0"/>
              <w:kern w:val="0"/>
              <w:szCs w:val="32"/>
              <w:highlight w:val="none"/>
              <w:lang w:eastAsia="zh-CN"/>
            </w:rPr>
            <w:t>发生</w:t>
          </w:r>
          <w:r>
            <w:rPr>
              <w:rFonts w:hint="eastAsia" w:ascii="CESI楷体-GB2312" w:hAnsi="CESI楷体-GB2312" w:eastAsia="CESI楷体-GB2312" w:cs="CESI楷体-GB2312"/>
              <w:bCs w:val="0"/>
              <w:snapToGrid w:val="0"/>
              <w:kern w:val="0"/>
              <w:szCs w:val="32"/>
              <w:highlight w:val="none"/>
            </w:rPr>
            <w:t>经过</w:t>
          </w:r>
          <w:r>
            <w:tab/>
          </w:r>
          <w:r>
            <w:fldChar w:fldCharType="begin"/>
          </w:r>
          <w:r>
            <w:instrText xml:space="preserve"> PAGEREF _Toc60 \h </w:instrText>
          </w:r>
          <w:r>
            <w:fldChar w:fldCharType="separate"/>
          </w:r>
          <w:r>
            <w:t>- 8 -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3DE96D6D">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_Toc13960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rPr>
            <w:t>（</w:t>
          </w:r>
          <w:r>
            <w:rPr>
              <w:rFonts w:hint="eastAsia" w:ascii="CESI楷体-GB2312" w:hAnsi="CESI楷体-GB2312" w:eastAsia="CESI楷体-GB2312" w:cs="CESI楷体-GB2312"/>
              <w:bCs w:val="0"/>
              <w:snapToGrid w:val="0"/>
              <w:kern w:val="0"/>
              <w:szCs w:val="32"/>
              <w:highlight w:val="none"/>
              <w:lang w:eastAsia="zh-CN"/>
            </w:rPr>
            <w:t>三</w:t>
          </w:r>
          <w:r>
            <w:rPr>
              <w:rFonts w:hint="eastAsia" w:ascii="CESI楷体-GB2312" w:hAnsi="CESI楷体-GB2312" w:eastAsia="CESI楷体-GB2312" w:cs="CESI楷体-GB2312"/>
              <w:bCs w:val="0"/>
              <w:snapToGrid w:val="0"/>
              <w:kern w:val="0"/>
              <w:szCs w:val="32"/>
              <w:highlight w:val="none"/>
            </w:rPr>
            <w:t>）事故</w:t>
          </w:r>
          <w:r>
            <w:rPr>
              <w:rFonts w:hint="eastAsia" w:ascii="CESI楷体-GB2312" w:hAnsi="CESI楷体-GB2312" w:eastAsia="CESI楷体-GB2312" w:cs="CESI楷体-GB2312"/>
              <w:bCs w:val="0"/>
              <w:snapToGrid w:val="0"/>
              <w:kern w:val="0"/>
              <w:szCs w:val="32"/>
              <w:highlight w:val="none"/>
              <w:lang w:eastAsia="zh-CN"/>
            </w:rPr>
            <w:t>现场情况</w:t>
          </w:r>
          <w:r>
            <w:tab/>
          </w:r>
          <w:r>
            <w:fldChar w:fldCharType="begin"/>
          </w:r>
          <w:r>
            <w:instrText xml:space="preserve"> PAGEREF _Toc13960 \h </w:instrText>
          </w:r>
          <w:r>
            <w:fldChar w:fldCharType="separate"/>
          </w:r>
          <w:r>
            <w:t>- 9 -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4F629C52">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_Toc19099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（四）人员伤亡和直接经济损失情况</w:t>
          </w:r>
          <w:r>
            <w:tab/>
          </w:r>
          <w:r>
            <w:fldChar w:fldCharType="begin"/>
          </w:r>
          <w:r>
            <w:instrText xml:space="preserve"> PAGEREF _Toc19099 \h </w:instrText>
          </w:r>
          <w:r>
            <w:fldChar w:fldCharType="separate"/>
          </w:r>
          <w:r>
            <w:t>- 12 -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802AC0F">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_Toc47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三、事故应急处置及评估情况</w:t>
          </w:r>
          <w:r>
            <w:tab/>
          </w:r>
          <w:r>
            <w:fldChar w:fldCharType="begin"/>
          </w:r>
          <w:r>
            <w:instrText xml:space="preserve"> PAGEREF _Toc47 \h </w:instrText>
          </w:r>
          <w:r>
            <w:fldChar w:fldCharType="separate"/>
          </w:r>
          <w:r>
            <w:t>- 13 -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8CBC9D2">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_Toc1527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eastAsia="zh-CN"/>
            </w:rPr>
            <w:t>（一）事故信息接报及响应情况</w:t>
          </w:r>
          <w:r>
            <w:tab/>
          </w:r>
          <w:r>
            <w:fldChar w:fldCharType="begin"/>
          </w:r>
          <w:r>
            <w:instrText xml:space="preserve"> PAGEREF _Toc1527 \h </w:instrText>
          </w:r>
          <w:r>
            <w:fldChar w:fldCharType="separate"/>
          </w:r>
          <w:r>
            <w:t>- 13 -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2F62483">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_Toc19775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（二）事故现场应急处置情况</w:t>
          </w:r>
          <w:r>
            <w:tab/>
          </w:r>
          <w:r>
            <w:fldChar w:fldCharType="begin"/>
          </w:r>
          <w:r>
            <w:instrText xml:space="preserve"> PAGEREF _Toc19775 \h </w:instrText>
          </w:r>
          <w:r>
            <w:fldChar w:fldCharType="separate"/>
          </w:r>
          <w:r>
            <w:t>- 13 -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33652E27">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_Toc18679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（三）医疗救治和善后情况</w:t>
          </w:r>
          <w:r>
            <w:tab/>
          </w:r>
          <w:r>
            <w:fldChar w:fldCharType="begin"/>
          </w:r>
          <w:r>
            <w:instrText xml:space="preserve"> PAGEREF _Toc18679 \h </w:instrText>
          </w:r>
          <w:r>
            <w:fldChar w:fldCharType="separate"/>
          </w:r>
          <w:r>
            <w:t>- 14 -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4E9BD86">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_Toc3792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（四）事故应急处置评估</w:t>
          </w:r>
          <w:r>
            <w:tab/>
          </w:r>
          <w:r>
            <w:fldChar w:fldCharType="begin"/>
          </w:r>
          <w:r>
            <w:instrText xml:space="preserve"> PAGEREF _Toc3792 \h </w:instrText>
          </w:r>
          <w:r>
            <w:fldChar w:fldCharType="separate"/>
          </w:r>
          <w:r>
            <w:t>- 14 -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5C2AB36">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_Toc18738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四、事故原因分析</w:t>
          </w:r>
          <w:r>
            <w:tab/>
          </w:r>
          <w:r>
            <w:fldChar w:fldCharType="begin"/>
          </w:r>
          <w:r>
            <w:instrText xml:space="preserve"> PAGEREF _Toc18738 \h </w:instrText>
          </w:r>
          <w:r>
            <w:fldChar w:fldCharType="separate"/>
          </w:r>
          <w:r>
            <w:t>- 14 -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2100E7D6">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_Toc4470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eastAsia="zh-CN"/>
            </w:rPr>
            <w:t>（一）直接原因</w:t>
          </w:r>
          <w:r>
            <w:rPr>
              <w:rFonts w:hint="eastAsia" w:ascii="CESI楷体-GB2312" w:hAnsi="CESI楷体-GB2312" w:eastAsia="CESI楷体-GB2312" w:cs="CESI楷体-GB2312"/>
              <w:bCs w:val="0"/>
              <w:snapToGrid w:val="0"/>
              <w:kern w:val="0"/>
              <w:szCs w:val="32"/>
              <w:highlight w:val="none"/>
              <w:lang w:val="en-US" w:eastAsia="zh-CN"/>
            </w:rPr>
            <w:t>分析</w:t>
          </w:r>
          <w:r>
            <w:tab/>
          </w:r>
          <w:r>
            <w:fldChar w:fldCharType="begin"/>
          </w:r>
          <w:r>
            <w:instrText xml:space="preserve"> PAGEREF _Toc4470 \h </w:instrText>
          </w:r>
          <w:r>
            <w:fldChar w:fldCharType="separate"/>
          </w:r>
          <w:r>
            <w:t>- 15 -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32ED7CFF">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_Toc16608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eastAsia="zh-CN"/>
            </w:rPr>
            <w:t>（二）事故相关检验检测和鉴定情况</w:t>
          </w:r>
          <w:r>
            <w:tab/>
          </w:r>
          <w:r>
            <w:fldChar w:fldCharType="begin"/>
          </w:r>
          <w:r>
            <w:instrText xml:space="preserve"> PAGEREF _Toc16608 \h </w:instrText>
          </w:r>
          <w:r>
            <w:fldChar w:fldCharType="separate"/>
          </w:r>
          <w:r>
            <w:t>- 15 -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35219BE7">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_Toc3762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eastAsia="zh-CN"/>
            </w:rPr>
            <w:t>（三）其他可能因素排除</w:t>
          </w:r>
          <w:r>
            <w:tab/>
          </w:r>
          <w:r>
            <w:fldChar w:fldCharType="begin"/>
          </w:r>
          <w:r>
            <w:instrText xml:space="preserve"> PAGEREF _Toc3762 \h </w:instrText>
          </w:r>
          <w:r>
            <w:fldChar w:fldCharType="separate"/>
          </w:r>
          <w:r>
            <w:t>- 16 -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9468DA0">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_Toc29437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eastAsia="zh-CN"/>
            </w:rPr>
            <w:t>（</w:t>
          </w:r>
          <w:r>
            <w:rPr>
              <w:rFonts w:hint="eastAsia" w:ascii="CESI楷体-GB2312" w:hAnsi="CESI楷体-GB2312" w:eastAsia="CESI楷体-GB2312" w:cs="CESI楷体-GB2312"/>
              <w:bCs w:val="0"/>
              <w:snapToGrid w:val="0"/>
              <w:kern w:val="0"/>
              <w:szCs w:val="32"/>
              <w:highlight w:val="none"/>
              <w:lang w:val="en-US" w:eastAsia="zh-CN"/>
            </w:rPr>
            <w:t>四</w:t>
          </w:r>
          <w:r>
            <w:rPr>
              <w:rFonts w:hint="eastAsia" w:ascii="CESI楷体-GB2312" w:hAnsi="CESI楷体-GB2312" w:eastAsia="CESI楷体-GB2312" w:cs="CESI楷体-GB2312"/>
              <w:bCs w:val="0"/>
              <w:snapToGrid w:val="0"/>
              <w:kern w:val="0"/>
              <w:szCs w:val="32"/>
              <w:highlight w:val="none"/>
              <w:lang w:eastAsia="zh-CN"/>
            </w:rPr>
            <w:t>）间接原因</w:t>
          </w:r>
          <w:r>
            <w:rPr>
              <w:rFonts w:hint="eastAsia" w:ascii="CESI楷体-GB2312" w:hAnsi="CESI楷体-GB2312" w:eastAsia="CESI楷体-GB2312" w:cs="CESI楷体-GB2312"/>
              <w:bCs w:val="0"/>
              <w:snapToGrid w:val="0"/>
              <w:kern w:val="0"/>
              <w:szCs w:val="32"/>
              <w:highlight w:val="none"/>
              <w:lang w:val="en-US" w:eastAsia="zh-CN"/>
            </w:rPr>
            <w:t>分析</w:t>
          </w:r>
          <w:r>
            <w:tab/>
          </w:r>
          <w:r>
            <w:fldChar w:fldCharType="begin"/>
          </w:r>
          <w:r>
            <w:instrText xml:space="preserve"> PAGEREF _Toc29437 \h </w:instrText>
          </w:r>
          <w:r>
            <w:fldChar w:fldCharType="separate"/>
          </w:r>
          <w:r>
            <w:t>- 16 -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65D31FAE">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_Toc30474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五、有关责任单位存在的主要问题</w:t>
          </w:r>
          <w:r>
            <w:tab/>
          </w:r>
          <w:r>
            <w:fldChar w:fldCharType="begin"/>
          </w:r>
          <w:r>
            <w:instrText xml:space="preserve"> PAGEREF _Toc30474 \h </w:instrText>
          </w:r>
          <w:r>
            <w:fldChar w:fldCharType="separate"/>
          </w:r>
          <w:r>
            <w:t>- 17 -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F032A0D">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_Toc18825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（一）呼伦贝尔市盛佳工程勘察有限责任公司</w:t>
          </w:r>
          <w:r>
            <w:tab/>
          </w:r>
          <w:r>
            <w:fldChar w:fldCharType="begin"/>
          </w:r>
          <w:r>
            <w:instrText xml:space="preserve"> PAGEREF _Toc18825 \h </w:instrText>
          </w:r>
          <w:r>
            <w:fldChar w:fldCharType="separate"/>
          </w:r>
          <w:r>
            <w:t>- 17 -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07075EB">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_Toc8646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（二）内蒙古第六地质矿产勘查开发有限责任公司</w:t>
          </w:r>
          <w:r>
            <w:tab/>
          </w:r>
          <w:r>
            <w:fldChar w:fldCharType="begin"/>
          </w:r>
          <w:r>
            <w:instrText xml:space="preserve"> PAGEREF _Toc8646 \h </w:instrText>
          </w:r>
          <w:r>
            <w:fldChar w:fldCharType="separate"/>
          </w:r>
          <w:r>
            <w:t>- 17 -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489765E8">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_Toc9937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（三）根河市自然资源局</w:t>
          </w:r>
          <w:r>
            <w:tab/>
          </w:r>
          <w:r>
            <w:fldChar w:fldCharType="begin"/>
          </w:r>
          <w:r>
            <w:instrText xml:space="preserve"> PAGEREF _Toc9937 \h </w:instrText>
          </w:r>
          <w:r>
            <w:fldChar w:fldCharType="separate"/>
          </w:r>
          <w:r>
            <w:t>- 17 -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883B71E">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_Toc14238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（四）满归镇人民政府</w:t>
          </w:r>
          <w:r>
            <w:tab/>
          </w:r>
          <w:r>
            <w:fldChar w:fldCharType="begin"/>
          </w:r>
          <w:r>
            <w:instrText xml:space="preserve"> PAGEREF _Toc14238 \h </w:instrText>
          </w:r>
          <w:r>
            <w:fldChar w:fldCharType="separate"/>
          </w:r>
          <w:r>
            <w:t>- 17 -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741854F2">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_Toc2523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（五）根河市矿山安全监管局</w:t>
          </w:r>
          <w:r>
            <w:tab/>
          </w:r>
          <w:r>
            <w:fldChar w:fldCharType="begin"/>
          </w:r>
          <w:r>
            <w:instrText xml:space="preserve"> PAGEREF _Toc2523 \h </w:instrText>
          </w:r>
          <w:r>
            <w:fldChar w:fldCharType="separate"/>
          </w:r>
          <w:r>
            <w:t>- 18 -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5987DDB3">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_Toc6116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六、对有关责任人员和责任单位的处理建议</w:t>
          </w:r>
          <w:r>
            <w:tab/>
          </w:r>
          <w:r>
            <w:fldChar w:fldCharType="begin"/>
          </w:r>
          <w:r>
            <w:instrText xml:space="preserve"> PAGEREF _Toc6116 \h </w:instrText>
          </w:r>
          <w:r>
            <w:fldChar w:fldCharType="separate"/>
          </w:r>
          <w:r>
            <w:t>- 18 -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293F993A">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_Toc26486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（一）有关责任人员处理建议</w:t>
          </w:r>
          <w:r>
            <w:tab/>
          </w:r>
          <w:r>
            <w:fldChar w:fldCharType="begin"/>
          </w:r>
          <w:r>
            <w:instrText xml:space="preserve"> PAGEREF _Toc26486 \h </w:instrText>
          </w:r>
          <w:r>
            <w:fldChar w:fldCharType="separate"/>
          </w:r>
          <w:r>
            <w:t>- 18 -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0D1FB92D">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_Toc13293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（二）有关责任单位的处理建议</w:t>
          </w:r>
          <w:r>
            <w:tab/>
          </w:r>
          <w:r>
            <w:fldChar w:fldCharType="begin"/>
          </w:r>
          <w:r>
            <w:instrText xml:space="preserve"> PAGEREF _Toc13293 \h </w:instrText>
          </w:r>
          <w:r>
            <w:fldChar w:fldCharType="separate"/>
          </w:r>
          <w:r>
            <w:t>- 21 -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629C2006">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_Toc25717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（三）其他处理建议</w:t>
          </w:r>
          <w:r>
            <w:tab/>
          </w:r>
          <w:r>
            <w:fldChar w:fldCharType="begin"/>
          </w:r>
          <w:r>
            <w:instrText xml:space="preserve"> PAGEREF _Toc25717 \h </w:instrText>
          </w:r>
          <w:r>
            <w:fldChar w:fldCharType="separate"/>
          </w:r>
          <w:r>
            <w:t>- 23 -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4573FBFE">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_Toc31424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七、事故主要教训</w:t>
          </w:r>
          <w:r>
            <w:tab/>
          </w:r>
          <w:r>
            <w:fldChar w:fldCharType="begin"/>
          </w:r>
          <w:r>
            <w:instrText xml:space="preserve"> PAGEREF _Toc31424 \h </w:instrText>
          </w:r>
          <w:r>
            <w:fldChar w:fldCharType="separate"/>
          </w:r>
          <w:r>
            <w:t>- 23 -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53D972FC">
          <w:pPr>
            <w:pStyle w:val="9"/>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_Toc17187 </w:instrText>
          </w:r>
          <w:r>
            <w:rPr>
              <w:rFonts w:hint="eastAsia" w:ascii="仿宋" w:hAnsi="仿宋" w:eastAsia="仿宋" w:cs="仿宋"/>
              <w:bCs/>
              <w:snapToGrid w:val="0"/>
              <w:kern w:val="0"/>
              <w:szCs w:val="44"/>
              <w:highlight w:val="none"/>
              <w:lang w:val="en-US" w:eastAsia="zh-CN"/>
            </w:rPr>
            <w:fldChar w:fldCharType="separate"/>
          </w:r>
          <w:r>
            <w:rPr>
              <w:rFonts w:hint="eastAsia" w:ascii="黑体" w:hAnsi="黑体" w:eastAsia="黑体" w:cs="黑体"/>
              <w:snapToGrid w:val="0"/>
              <w:kern w:val="0"/>
              <w:szCs w:val="32"/>
              <w:highlight w:val="none"/>
              <w:lang w:val="en-US" w:eastAsia="zh-CN"/>
            </w:rPr>
            <w:t>八、事故整改和防范措施</w:t>
          </w:r>
          <w:r>
            <w:tab/>
          </w:r>
          <w:r>
            <w:fldChar w:fldCharType="begin"/>
          </w:r>
          <w:r>
            <w:instrText xml:space="preserve"> PAGEREF _Toc17187 \h </w:instrText>
          </w:r>
          <w:r>
            <w:fldChar w:fldCharType="separate"/>
          </w:r>
          <w:r>
            <w:t>- 24 -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5ADE070E">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_Toc32606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（一）呼伦贝尔市盛佳工程勘察有限责任公司</w:t>
          </w:r>
          <w:r>
            <w:tab/>
          </w:r>
          <w:r>
            <w:fldChar w:fldCharType="begin"/>
          </w:r>
          <w:r>
            <w:instrText xml:space="preserve"> PAGEREF _Toc32606 \h </w:instrText>
          </w:r>
          <w:r>
            <w:fldChar w:fldCharType="separate"/>
          </w:r>
          <w:r>
            <w:t>- 24 -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15A85649">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_Toc9458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（二）内蒙古第六地质矿产勘查开发有限责任公司</w:t>
          </w:r>
          <w:r>
            <w:tab/>
          </w:r>
          <w:r>
            <w:fldChar w:fldCharType="begin"/>
          </w:r>
          <w:r>
            <w:instrText xml:space="preserve"> PAGEREF _Toc9458 \h </w:instrText>
          </w:r>
          <w:r>
            <w:fldChar w:fldCharType="separate"/>
          </w:r>
          <w:r>
            <w:t>- 24 -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2AD0305A">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_Toc5659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（三）根河市自然资源局</w:t>
          </w:r>
          <w:r>
            <w:tab/>
          </w:r>
          <w:r>
            <w:fldChar w:fldCharType="begin"/>
          </w:r>
          <w:r>
            <w:instrText xml:space="preserve"> PAGEREF _Toc5659 \h </w:instrText>
          </w:r>
          <w:r>
            <w:fldChar w:fldCharType="separate"/>
          </w:r>
          <w:r>
            <w:t>- 24 -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17B7BE50">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_Toc2792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（四）根河市满归镇人民政府</w:t>
          </w:r>
          <w:r>
            <w:tab/>
          </w:r>
          <w:r>
            <w:fldChar w:fldCharType="begin"/>
          </w:r>
          <w:r>
            <w:instrText xml:space="preserve"> PAGEREF _Toc2792 \h </w:instrText>
          </w:r>
          <w:r>
            <w:fldChar w:fldCharType="separate"/>
          </w:r>
          <w:r>
            <w:t>- 25 -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3714DF99">
          <w:pPr>
            <w:pStyle w:val="11"/>
            <w:tabs>
              <w:tab w:val="right" w:leader="dot" w:pos="8306"/>
            </w:tabs>
          </w:pPr>
          <w:r>
            <w:rPr>
              <w:rFonts w:hint="eastAsia" w:ascii="仿宋" w:hAnsi="仿宋" w:eastAsia="仿宋" w:cs="仿宋"/>
              <w:bCs/>
              <w:snapToGrid w:val="0"/>
              <w:color w:val="auto"/>
              <w:kern w:val="0"/>
              <w:szCs w:val="44"/>
              <w:highlight w:val="none"/>
              <w:lang w:val="en-US" w:eastAsia="zh-CN"/>
            </w:rPr>
            <w:fldChar w:fldCharType="begin"/>
          </w:r>
          <w:r>
            <w:rPr>
              <w:rFonts w:hint="eastAsia" w:ascii="仿宋" w:hAnsi="仿宋" w:eastAsia="仿宋" w:cs="仿宋"/>
              <w:bCs/>
              <w:snapToGrid w:val="0"/>
              <w:kern w:val="0"/>
              <w:szCs w:val="44"/>
              <w:highlight w:val="none"/>
              <w:lang w:val="en-US" w:eastAsia="zh-CN"/>
            </w:rPr>
            <w:instrText xml:space="preserve"> HYPERLINK \l _Toc18906 </w:instrText>
          </w:r>
          <w:r>
            <w:rPr>
              <w:rFonts w:hint="eastAsia" w:ascii="仿宋" w:hAnsi="仿宋" w:eastAsia="仿宋" w:cs="仿宋"/>
              <w:bCs/>
              <w:snapToGrid w:val="0"/>
              <w:kern w:val="0"/>
              <w:szCs w:val="44"/>
              <w:highlight w:val="none"/>
              <w:lang w:val="en-US" w:eastAsia="zh-CN"/>
            </w:rPr>
            <w:fldChar w:fldCharType="separate"/>
          </w:r>
          <w:r>
            <w:rPr>
              <w:rFonts w:hint="eastAsia" w:ascii="CESI楷体-GB2312" w:hAnsi="CESI楷体-GB2312" w:eastAsia="CESI楷体-GB2312" w:cs="CESI楷体-GB2312"/>
              <w:bCs w:val="0"/>
              <w:snapToGrid w:val="0"/>
              <w:kern w:val="0"/>
              <w:szCs w:val="32"/>
              <w:highlight w:val="none"/>
              <w:lang w:val="en-US" w:eastAsia="zh-CN"/>
            </w:rPr>
            <w:t>（五）根河市矿山安全监管局</w:t>
          </w:r>
          <w:r>
            <w:tab/>
          </w:r>
          <w:r>
            <w:fldChar w:fldCharType="begin"/>
          </w:r>
          <w:r>
            <w:instrText xml:space="preserve"> PAGEREF _Toc18906 \h </w:instrText>
          </w:r>
          <w:r>
            <w:fldChar w:fldCharType="separate"/>
          </w:r>
          <w:r>
            <w:t>- 25 -</w:t>
          </w:r>
          <w:r>
            <w:fldChar w:fldCharType="end"/>
          </w:r>
          <w:r>
            <w:rPr>
              <w:rFonts w:hint="eastAsia" w:ascii="仿宋" w:hAnsi="仿宋" w:eastAsia="仿宋" w:cs="仿宋"/>
              <w:bCs/>
              <w:snapToGrid w:val="0"/>
              <w:color w:val="auto"/>
              <w:kern w:val="0"/>
              <w:szCs w:val="44"/>
              <w:highlight w:val="none"/>
              <w:lang w:val="en-US" w:eastAsia="zh-CN"/>
            </w:rPr>
            <w:fldChar w:fldCharType="end"/>
          </w:r>
        </w:p>
        <w:p w14:paraId="2D5CCAF9">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snapToGrid w:val="0"/>
              <w:color w:val="auto"/>
              <w:kern w:val="0"/>
              <w:sz w:val="44"/>
              <w:szCs w:val="44"/>
              <w:highlight w:val="none"/>
              <w:lang w:val="en-US" w:eastAsia="zh-CN"/>
            </w:rPr>
          </w:pPr>
          <w:r>
            <w:rPr>
              <w:rFonts w:hint="eastAsia" w:ascii="仿宋" w:hAnsi="仿宋" w:eastAsia="仿宋" w:cs="仿宋"/>
              <w:bCs/>
              <w:snapToGrid w:val="0"/>
              <w:color w:val="auto"/>
              <w:kern w:val="0"/>
              <w:szCs w:val="44"/>
              <w:highlight w:val="none"/>
              <w:lang w:val="en-US" w:eastAsia="zh-CN"/>
            </w:rPr>
            <w:fldChar w:fldCharType="end"/>
          </w:r>
        </w:p>
      </w:sdtContent>
    </w:sdt>
    <w:p w14:paraId="3C20B3A8">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highlight w:val="none"/>
          <w:lang w:val="en-US" w:eastAsia="zh-CN"/>
        </w:rPr>
        <w:sectPr>
          <w:footerReference r:id="rId4" w:type="default"/>
          <w:footerReference r:id="rId5" w:type="even"/>
          <w:pgSz w:w="11906" w:h="16838"/>
          <w:pgMar w:top="1440" w:right="1800" w:bottom="1440" w:left="1800" w:header="851" w:footer="992" w:gutter="0"/>
          <w:pgNumType w:fmt="numberInDash" w:start="1"/>
          <w:cols w:space="425" w:num="1"/>
          <w:docGrid w:type="lines" w:linePitch="312" w:charSpace="0"/>
        </w:sectPr>
      </w:pPr>
    </w:p>
    <w:p w14:paraId="58E2620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0" w:name="_Toc16562"/>
      <w:bookmarkStart w:id="1" w:name="_Toc29729"/>
      <w:bookmarkStart w:id="2" w:name="_Toc20137"/>
      <w:bookmarkStart w:id="3" w:name="_Toc10459"/>
      <w:r>
        <w:rPr>
          <w:rFonts w:hint="eastAsia" w:ascii="黑体" w:hAnsi="黑体" w:eastAsia="黑体" w:cs="黑体"/>
          <w:snapToGrid w:val="0"/>
          <w:kern w:val="0"/>
          <w:sz w:val="32"/>
          <w:szCs w:val="32"/>
          <w:highlight w:val="none"/>
          <w:lang w:val="en-US" w:eastAsia="zh-CN"/>
        </w:rPr>
        <w:t>一、</w:t>
      </w:r>
      <w:bookmarkEnd w:id="0"/>
      <w:r>
        <w:rPr>
          <w:rFonts w:hint="eastAsia" w:ascii="黑体" w:hAnsi="黑体" w:eastAsia="黑体" w:cs="黑体"/>
          <w:snapToGrid w:val="0"/>
          <w:kern w:val="0"/>
          <w:sz w:val="32"/>
          <w:szCs w:val="32"/>
          <w:highlight w:val="none"/>
          <w:lang w:val="en-US" w:eastAsia="zh-CN"/>
        </w:rPr>
        <w:t>报告开篇和事故性质认定</w:t>
      </w:r>
      <w:bookmarkEnd w:id="1"/>
      <w:bookmarkEnd w:id="2"/>
      <w:bookmarkEnd w:id="3"/>
      <w:r>
        <w:rPr>
          <w:rFonts w:hint="eastAsia" w:ascii="黑体" w:hAnsi="黑体" w:eastAsia="黑体" w:cs="黑体"/>
          <w:snapToGrid w:val="0"/>
          <w:kern w:val="0"/>
          <w:sz w:val="32"/>
          <w:szCs w:val="32"/>
          <w:highlight w:val="none"/>
          <w:lang w:val="en-US" w:eastAsia="zh-CN"/>
        </w:rPr>
        <w:tab/>
      </w:r>
    </w:p>
    <w:p w14:paraId="71C21C8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事故发生时间：2025年8月31日15时许。</w:t>
      </w:r>
    </w:p>
    <w:p w14:paraId="089606B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事故发生地点：呼伦贝尔市根河市满归镇高地林场18支线3公里向西北山坡的简易道约2公里处作业点（离满归镇区约50公里）。</w:t>
      </w:r>
    </w:p>
    <w:p w14:paraId="15EFBE1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事故发生单位：呼伦贝尔市盛佳工程勘察有限责任公司。</w:t>
      </w:r>
    </w:p>
    <w:p w14:paraId="2B4520B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事故类型：一般车辆伤害生产安全事故。</w:t>
      </w:r>
    </w:p>
    <w:p w14:paraId="674D806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伤亡人数：1人死亡。</w:t>
      </w:r>
    </w:p>
    <w:p w14:paraId="47BD3EA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事故等级：一般事故。</w:t>
      </w:r>
    </w:p>
    <w:p w14:paraId="63B0958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直接经济损失：XXXXXXX元。</w:t>
      </w:r>
    </w:p>
    <w:p w14:paraId="5A750FC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根河市应急管理局接到报告后，立即向根河市人民政府进行汇报，并按照市领导指示，依据《中华人民共和国安全生产法》、《生产安全事故报告和调查处理条例》（国务院令第493号）等有关法律法规规定，迅速启动联合调查机制，成立根河满归呼伦贝尔市盛佳工程勘察有限责任公司“8·31”一般车辆伤害事故调查组（以下简称事故调查组），事故调查组由市人民政府、市应急管理局、市公安局、市总工会、满归镇人民政府等派人组成，同时邀请市纪委监委派员参加，对该起事故展开调查。</w:t>
      </w:r>
    </w:p>
    <w:p w14:paraId="345BC86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调查组按照“四不放过”和“科学严谨、依法依规、实事求是、注重实效”的原则，通过现场勘查、实地调查、资料查阅、技术分析、人员询问和专家论证等方法，查明了事故发生经过、原因和直接经济损失等情况，认定了事故性质和责任，提出了对有关责任人和责任单位的处理建议，并针对事故原因及暴露出的突出问题，提出了事故防范措施建议。</w:t>
      </w:r>
    </w:p>
    <w:p w14:paraId="4BA6843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性质：经调查认定，根河满归呼伦贝尔市盛佳工程勘察有限责任公司“8·31”一般车辆伤害事故是一起因呼伦贝尔市盛佳工程勘察有限责任公司项目部作业人员违章作业造成的一般车辆伤害生产安全责任事故。</w:t>
      </w:r>
    </w:p>
    <w:p w14:paraId="263C680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4" w:name="_Toc28550"/>
      <w:r>
        <w:rPr>
          <w:rFonts w:hint="eastAsia" w:ascii="黑体" w:hAnsi="黑体" w:eastAsia="黑体" w:cs="黑体"/>
          <w:snapToGrid w:val="0"/>
          <w:kern w:val="0"/>
          <w:sz w:val="32"/>
          <w:szCs w:val="32"/>
          <w:highlight w:val="none"/>
          <w:lang w:val="en-US" w:eastAsia="zh-CN"/>
        </w:rPr>
        <w:t>二、事故基本情况</w:t>
      </w:r>
      <w:bookmarkEnd w:id="4"/>
    </w:p>
    <w:p w14:paraId="4DCA789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rPr>
      </w:pPr>
      <w:bookmarkStart w:id="5" w:name="_Toc19215"/>
      <w:r>
        <w:rPr>
          <w:rFonts w:hint="eastAsia" w:ascii="CESI楷体-GB2312" w:hAnsi="CESI楷体-GB2312" w:eastAsia="CESI楷体-GB2312" w:cs="CESI楷体-GB2312"/>
          <w:b w:val="0"/>
          <w:bCs w:val="0"/>
          <w:snapToGrid w:val="0"/>
          <w:color w:val="auto"/>
          <w:kern w:val="0"/>
          <w:sz w:val="32"/>
          <w:szCs w:val="32"/>
          <w:highlight w:val="none"/>
        </w:rPr>
        <w:t>（一）内蒙古自治区根河市满归面包山多金属矿勘探项目情况</w:t>
      </w:r>
      <w:bookmarkEnd w:id="5"/>
    </w:p>
    <w:p w14:paraId="54A36DD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1.矿产资源勘查登记项目开工报告</w:t>
      </w:r>
    </w:p>
    <w:p w14:paraId="756EEBE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项目名称：内蒙古自治区根河市满归面包山多金属矿勘探（以下简称面包山项目）</w:t>
      </w:r>
    </w:p>
    <w:p w14:paraId="4D3727F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探矿权人：呼伦贝尔山金矿业有限公司</w:t>
      </w:r>
    </w:p>
    <w:p w14:paraId="706DFB2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勘查单位：山东省地矿工程集团有限公司</w:t>
      </w:r>
    </w:p>
    <w:p w14:paraId="1EC5F6F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探许可证号：T1500002009033040026660</w:t>
      </w:r>
    </w:p>
    <w:p w14:paraId="46309EF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登记矿种：多金属</w:t>
      </w:r>
    </w:p>
    <w:p w14:paraId="7A7C07E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项目报备：山东省地矿工程集团有限公司2025年5月25日向根河市自然资源管理局进行报备。</w:t>
      </w:r>
    </w:p>
    <w:p w14:paraId="68C0EFE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有限期限：2022年3月9日—2027年3月8日</w:t>
      </w:r>
    </w:p>
    <w:p w14:paraId="10D18AA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开工审批时间：2025年6月10日</w:t>
      </w:r>
    </w:p>
    <w:p w14:paraId="65EFA72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开工日期：2025年6月11日</w:t>
      </w:r>
    </w:p>
    <w:p w14:paraId="1ADFD9F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napToGrid w:val="0"/>
          <w:color w:val="auto"/>
          <w:kern w:val="0"/>
          <w:sz w:val="32"/>
          <w:szCs w:val="32"/>
          <w:highlight w:val="none"/>
          <w:lang w:val="en-US" w:eastAsia="zh-CN" w:bidi="ar-SA"/>
        </w:rPr>
        <w:t>安全生产管理：</w:t>
      </w:r>
      <w:r>
        <w:rPr>
          <w:rFonts w:hint="eastAsia" w:ascii="仿宋_GB2312" w:hAnsi="仿宋_GB2312" w:eastAsia="仿宋_GB2312" w:cs="仿宋_GB2312"/>
          <w:sz w:val="32"/>
          <w:szCs w:val="32"/>
          <w:highlight w:val="none"/>
          <w:lang w:val="en-US" w:eastAsia="zh-CN"/>
        </w:rPr>
        <w:t>呼伦贝尔市山金矿业有限公司、山东省地矿工程集团有限公司、内蒙古第六地质矿产勘查开发有限责任公司已在合同中明确安全生产责任。内蒙古第六地质矿产勘查开发有限责任公司以</w:t>
      </w:r>
      <w:r>
        <w:rPr>
          <w:rFonts w:hint="eastAsia" w:ascii="仿宋_GB2312" w:hAnsi="仿宋_GB2312" w:eastAsia="仿宋_GB2312" w:cs="仿宋_GB2312"/>
          <w:snapToGrid w:val="0"/>
          <w:color w:val="auto"/>
          <w:kern w:val="0"/>
          <w:sz w:val="32"/>
          <w:szCs w:val="32"/>
          <w:highlight w:val="none"/>
          <w:lang w:val="en-US" w:eastAsia="zh-CN" w:bidi="ar-SA"/>
        </w:rPr>
        <w:t>内部出包的形式与</w:t>
      </w:r>
      <w:r>
        <w:rPr>
          <w:rFonts w:hint="eastAsia" w:ascii="仿宋_GB2312" w:hAnsi="仿宋_GB2312" w:eastAsia="仿宋_GB2312" w:cs="仿宋_GB2312"/>
          <w:sz w:val="32"/>
          <w:szCs w:val="32"/>
          <w:highlight w:val="none"/>
          <w:lang w:val="en-US" w:eastAsia="zh-CN"/>
        </w:rPr>
        <w:t>呼伦贝尔市盛佳工程勘察有限责任公司在项目成立文件中确定安全生产责任。</w:t>
      </w:r>
    </w:p>
    <w:p w14:paraId="4A45A08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2.勘查单位（项目发包单位）营业执照信息</w:t>
      </w:r>
    </w:p>
    <w:p w14:paraId="5899E38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名称：山东省地矿工程集团有限公司</w:t>
      </w:r>
    </w:p>
    <w:p w14:paraId="7203158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统一社会信用代码：913700001630480259</w:t>
      </w:r>
    </w:p>
    <w:p w14:paraId="6549348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类型：有限责任公司(非自然人投资或控股的法人独资)</w:t>
      </w:r>
    </w:p>
    <w:p w14:paraId="2900919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住所：济南市历山路74号</w:t>
      </w:r>
    </w:p>
    <w:p w14:paraId="68C5684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法定代表人：王XX</w:t>
      </w:r>
    </w:p>
    <w:p w14:paraId="7973AE6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成立日期：1994年4月8日</w:t>
      </w:r>
    </w:p>
    <w:p w14:paraId="5A7F909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营范围：矿产资源勘查；金属与非金属矿产资源地质勘探；地质灾害危险性评估；地质灾害治理工程勘查；地质灾害治理工程设计；地质灾害治理工程施工；地质灾害治理工程监理；测绘服务；建设工程勘察；建设工程施工；电气安装服务；检验检测服务；供暖服务；国土空间规划编制。（依法须经批准的项目，经相关部门批准后方可开展经营活动，具体经营项目以相关部门批准文件或许可证件为准）一般项目：基础地质勘查；地质勘查技术服务；矿产资源储量评估服务；矿产资源储量估算和报告编制服务；自然生态系统保护管理；地质灾害治理服务；水文服务；水资源管理；水污染治理；土地调查评估服务；土地整治服务；土壤环境污染防治服务；环境保护监测；生态恢复及生态保护服务；地理遥感信息服务；市政设施管理；园林绿化工程施工；建筑材料销售；租赁服务（不含许可类租赁服务）；机械设备租赁；供冷服务；技术服务、技术开发、技术咨询、技术交流、技术转让、技术推广；固体废物治理；节能管理服务；规划设计管理；森林经营和管护；林业有害生物防治服务；森林固碳服务；生态资源监测；劳务服务（不含劳务派遣）；通用设备修理；自然科学研究和试验发展；工程和技术研究和试验发展；合同能源管理；社会稳定风险评估。（除依法须经批准的项目外，凭营业执照依法自主开展经营活动）。</w:t>
      </w:r>
    </w:p>
    <w:p w14:paraId="3FB5ABA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3.探矿权人营业执照信息</w:t>
      </w:r>
    </w:p>
    <w:p w14:paraId="1C149B7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名称：呼伦贝尔市山金矿业有限公司</w:t>
      </w:r>
    </w:p>
    <w:p w14:paraId="5F019D5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统一社会信用代码：91150785701382136C</w:t>
      </w:r>
    </w:p>
    <w:p w14:paraId="77F760C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类型：有限责任公司(国有控股)</w:t>
      </w:r>
    </w:p>
    <w:p w14:paraId="2239F41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住所：根河市得耳布尔镇林海路军民街</w:t>
      </w:r>
    </w:p>
    <w:p w14:paraId="3C9C6F1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法定代表人：董XX</w:t>
      </w:r>
    </w:p>
    <w:p w14:paraId="4B7453E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成立日期：2001年08月13日</w:t>
      </w:r>
    </w:p>
    <w:p w14:paraId="36D961F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经营范围：采矿、选矿、冶炼、销售。</w:t>
      </w:r>
    </w:p>
    <w:p w14:paraId="767ACC0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4.项目承包单位营业执照信息</w:t>
      </w:r>
    </w:p>
    <w:p w14:paraId="21193A7A">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名称：内蒙古第六地质矿产勘查开发有限责任公司（以下简称地勘六公司）</w:t>
      </w:r>
    </w:p>
    <w:p w14:paraId="215E807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统一社会信用代码：91150783667335183G</w:t>
      </w:r>
    </w:p>
    <w:p w14:paraId="4C6C2D4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类型：有限责任公司(非自然人投资或控股的法人独资)</w:t>
      </w:r>
    </w:p>
    <w:p w14:paraId="02EBFE3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住所：内蒙古自治区呼伦贝尔市经济技术开发区起步区内</w:t>
      </w:r>
    </w:p>
    <w:p w14:paraId="60B54F0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法定代表人：孙XX</w:t>
      </w:r>
    </w:p>
    <w:p w14:paraId="29BAAF1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成立日期：2007年11月28日</w:t>
      </w:r>
    </w:p>
    <w:p w14:paraId="02C2C1A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营范围：矿产资源勘查；金属与非金属矿产资源地质勘探；地质灾害危险性评估；地质灾害治理工程勘查；地质灾害治理工程设计；地质灾害治理工程施工；地质灾害治理工程监理；测绘服务；国土空间规划编制；建设工程施工；建设工程勘察。（依法须经批准的项目，经相关部门批准后方可开展经营活动，具体经营项目以相关部门批准文件或许可证件为准）一般项目：基础地质勘查；地质勘查技术服务；矿产资源储量估算和报告编制服务；矿产资源储量评估服务；地质灾害治理服务；土地调查评估服务；不动产登记代理服务；技术服务、技术开发、技术咨询、技术交流、技术转让、技术推广；规划设计管理；工程技术服务（规划管理、勘察、设计、监理除外）；工程管理服务；土地整治服务；生态恢复及生态保护服务；环保咨询服务；水土流失防治服务；土壤污染治理与修复服务；环境保护监测；园林绿化工程施工；土石方工程施工；劳务服务（不含劳务派遣）；谷物种植；土地使用权租赁；非居住房地产租赁；住房租赁。（除依法须经批准的项目外，凭营业执照依法自主开展经营活动）。</w:t>
      </w:r>
    </w:p>
    <w:p w14:paraId="4979D7E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具有内蒙古自治区应急管理厅核发的《安全生产许可证》，编号为（蒙）FM安许证字(2024)004009号，许可范围：金属非金属矿产资源地质勘探，有效期2024年2月26日至2027年2月25日。</w:t>
      </w:r>
    </w:p>
    <w:p w14:paraId="1369D87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5.涉事单位营业执照信息</w:t>
      </w:r>
    </w:p>
    <w:p w14:paraId="51C56EB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名称：呼伦贝尔市盛佳工程勘察有限责任公司（以下简称盛佳公司）</w:t>
      </w:r>
    </w:p>
    <w:p w14:paraId="3EDDD63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统一社会信用代码：91150783756676035W</w:t>
      </w:r>
    </w:p>
    <w:p w14:paraId="37EAEC9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类型：有限责任公司(非自然人投资或控股的法人独资)</w:t>
      </w:r>
    </w:p>
    <w:p w14:paraId="5B74317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住所：内蒙古自治区呼伦贝尔</w:t>
      </w:r>
    </w:p>
    <w:p w14:paraId="38569C7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法定代表人：吕XX</w:t>
      </w:r>
    </w:p>
    <w:p w14:paraId="2C4A742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成立日期：2000年12月18日</w:t>
      </w:r>
    </w:p>
    <w:p w14:paraId="4DA9F8E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营范围：建设工程勘察；金属与非金属矿产资源地质勘探；地质灾害治理工程勘查；地质灾害治理工程施工。（依法须经批准的项目，经相关部门批准后方可开展经营活动，具体经营项目以相关部门批准文件或许可证件为准）一般项目：金属丝绳及其制品制造；金属丝绳及其制品销售；机械设备租赁；运输设备租赁服务；地质勘查技术服务；地质灾害治理服务。（除依法须经批准的项目外，凭营业执照依法自主开展经营活动），该公司未取得许可范围为金属非金属矿产资源地质勘探的《安全生产许可证》。</w:t>
      </w:r>
    </w:p>
    <w:p w14:paraId="2EF27BD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6.涉事单位基础信息</w:t>
      </w:r>
    </w:p>
    <w:p w14:paraId="287BE53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内蒙古第六地质矿产勘查开发有限责任公司安全生产组织机构：</w:t>
      </w:r>
    </w:p>
    <w:p w14:paraId="38DECD5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主任：孙XX</w:t>
      </w:r>
    </w:p>
    <w:p w14:paraId="0AC6C7F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副主任：付XX、马X、王XX、庄XX、刘XX、王XX、任XX、关XX</w:t>
      </w:r>
    </w:p>
    <w:p w14:paraId="27EC880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成员：唐XX、孙XX、于X、赵XX、吕XX、陈XX、韩XX、马X、何XX、孙XX、李XX、周X</w:t>
      </w:r>
    </w:p>
    <w:p w14:paraId="1E83042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安全管理情况：制定全员安全生产责任制和相关管理制度、开展对从业人员的教育培训、开展事故隐患排查等安全管理。</w:t>
      </w:r>
    </w:p>
    <w:p w14:paraId="6BDBAA0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呼伦贝尔市盛佳工程勘察有限责任公司共有从业人员54人，根河市满归面包山多金属矿勘探项目作业人员11人，成立安全管理机构。</w:t>
      </w:r>
    </w:p>
    <w:p w14:paraId="7CFC203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组长：吕XX</w:t>
      </w:r>
    </w:p>
    <w:p w14:paraId="7A669EB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成员：裴XX、于X、张XX、吕XX、王XX、唐XX、霍XX、迟X</w:t>
      </w:r>
    </w:p>
    <w:p w14:paraId="3DA2C10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防火和专职安全员：裴XX</w:t>
      </w:r>
    </w:p>
    <w:p w14:paraId="5621D874">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兼职安全管理人员：张XX、王XX、迟X、于X、吕XX、霍XX</w:t>
      </w:r>
    </w:p>
    <w:p w14:paraId="50BD6EC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钻探组负责人：王XX</w:t>
      </w:r>
    </w:p>
    <w:p w14:paraId="1A90B50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安全管理情况：制定全员安全生产责任制和相关管理制度、开展对从业人员的教育培训、开展事故隐患排查等安全管理。</w:t>
      </w:r>
    </w:p>
    <w:p w14:paraId="537C340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7.合同关系</w:t>
      </w:r>
    </w:p>
    <w:p w14:paraId="77D6FF0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呼伦贝尔市山金矿业有限公司探矿权发包给山东省地矿工程集团有限公司，2025年6月6日签订合同。</w:t>
      </w:r>
    </w:p>
    <w:p w14:paraId="24F45D6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山东省地矿工程集团有限公司发包给内蒙古第六地质矿产勘查有限责任公司，2025年6月10日签订合同。</w:t>
      </w:r>
    </w:p>
    <w:p w14:paraId="49F1275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工程名称：呼伦贝尔山金矿业有限公司多金属矿产勘查第一标段（面包山矿区）</w:t>
      </w:r>
    </w:p>
    <w:p w14:paraId="1E4B1AD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工作目的和任务：内蒙古呼伦贝尔市根河市满归面包山多金属矿详查，进一步研究以往勘查成果资料，通过大比例尺物探测量，圈定隐伏岩体，划分区内断裂构造格架，并结合地质资料确定含矿构造带位置，为下一步找矿工作提供信息；为勘查区北部为进一步勘查工作提供依据。</w:t>
      </w:r>
    </w:p>
    <w:p w14:paraId="5ABDFB2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工程工期：2025年6月10日至2026年1月31日</w:t>
      </w:r>
    </w:p>
    <w:p w14:paraId="22216B6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eastAsia="仿宋_GB2312"/>
          <w:b/>
          <w:bCs/>
          <w:snapToGrid w:val="0"/>
          <w:color w:val="auto"/>
          <w:kern w:val="0"/>
          <w:sz w:val="32"/>
          <w:szCs w:val="32"/>
          <w:highlight w:val="none"/>
        </w:rPr>
      </w:pPr>
      <w:r>
        <w:rPr>
          <w:rFonts w:hint="eastAsia" w:ascii="仿宋_GB2312" w:hAnsi="仿宋_GB2312" w:eastAsia="仿宋_GB2312" w:cs="仿宋_GB2312"/>
          <w:snapToGrid w:val="0"/>
          <w:color w:val="auto"/>
          <w:kern w:val="0"/>
          <w:sz w:val="32"/>
          <w:szCs w:val="32"/>
          <w:highlight w:val="none"/>
          <w:lang w:val="en-US" w:eastAsia="zh-CN" w:bidi="ar-SA"/>
        </w:rPr>
        <w:t>盛佳公司为地勘六公司控股公司，业务和人员均由地勘六公司统一调配，根据《内蒙古第六地质矿产勘查开发有限责任公司经营项目管理办法》和《2025年内蒙古地勘六公司企业经营分工》</w:t>
      </w:r>
      <w:r>
        <w:rPr>
          <w:rStyle w:val="18"/>
          <w:rFonts w:hint="eastAsia" w:ascii="Times New Roman" w:hAnsi="Times New Roman" w:eastAsia="宋体" w:cs="Times New Roman"/>
          <w:highlight w:val="none"/>
        </w:rPr>
        <w:t>【</w:t>
      </w:r>
      <w:r>
        <w:rPr>
          <w:rStyle w:val="18"/>
          <w:rFonts w:hint="eastAsia" w:ascii="Times New Roman" w:hAnsi="Times New Roman" w:eastAsia="宋体" w:cs="Times New Roman"/>
          <w:highlight w:val="none"/>
          <w:lang w:val="en-US" w:eastAsia="zh-CN"/>
        </w:rPr>
        <w:t>1</w:t>
      </w:r>
      <w:r>
        <w:rPr>
          <w:rStyle w:val="18"/>
          <w:rFonts w:hint="eastAsia" w:ascii="Times New Roman" w:hAnsi="Times New Roman" w:eastAsia="宋体" w:cs="Times New Roman"/>
          <w:highlight w:val="none"/>
        </w:rPr>
        <w:t>】【</w:t>
      </w:r>
      <w:r>
        <w:rPr>
          <w:rStyle w:val="18"/>
          <w:rFonts w:hint="eastAsia" w:ascii="Times New Roman" w:hAnsi="Times New Roman" w:eastAsia="宋体" w:cs="Times New Roman"/>
          <w:highlight w:val="none"/>
          <w:lang w:val="en-US" w:eastAsia="zh-CN"/>
        </w:rPr>
        <w:t>2</w:t>
      </w:r>
      <w:r>
        <w:rPr>
          <w:rStyle w:val="18"/>
          <w:rFonts w:hint="eastAsia" w:ascii="Times New Roman" w:hAnsi="Times New Roman" w:eastAsia="宋体" w:cs="Times New Roman"/>
          <w:highlight w:val="none"/>
        </w:rPr>
        <w:t>】</w:t>
      </w:r>
      <w:r>
        <w:rPr>
          <w:rFonts w:hint="eastAsia" w:ascii="仿宋_GB2312" w:hAnsi="仿宋_GB2312" w:eastAsia="仿宋_GB2312" w:cs="仿宋_GB2312"/>
          <w:snapToGrid w:val="0"/>
          <w:color w:val="auto"/>
          <w:kern w:val="0"/>
          <w:sz w:val="32"/>
          <w:szCs w:val="32"/>
          <w:highlight w:val="none"/>
          <w:lang w:val="en-US" w:eastAsia="zh-CN" w:bidi="ar-SA"/>
        </w:rPr>
        <w:t>显示，由地勘六公司成立内蒙古自治区根河市满归面包山多金属矿勘探项目部，以内部出包</w:t>
      </w:r>
      <w:r>
        <w:rPr>
          <w:rStyle w:val="18"/>
          <w:rFonts w:hint="eastAsia" w:ascii="Times New Roman" w:hAnsi="Times New Roman" w:eastAsia="宋体" w:cs="Times New Roman"/>
          <w:highlight w:val="none"/>
          <w:lang w:val="en-US" w:eastAsia="zh-CN"/>
        </w:rPr>
        <w:footnoteReference w:id="0" w:customMarkFollows="1"/>
        <w:t>【3】</w:t>
      </w:r>
      <w:r>
        <w:rPr>
          <w:rFonts w:hint="eastAsia" w:ascii="仿宋_GB2312" w:hAnsi="仿宋_GB2312" w:eastAsia="仿宋_GB2312" w:cs="仿宋_GB2312"/>
          <w:snapToGrid w:val="0"/>
          <w:color w:val="auto"/>
          <w:kern w:val="0"/>
          <w:sz w:val="32"/>
          <w:szCs w:val="32"/>
          <w:highlight w:val="none"/>
          <w:lang w:val="en-US" w:eastAsia="zh-CN" w:bidi="ar-SA"/>
        </w:rPr>
        <w:t>的形式交由盛佳公司进行地质钻探作业，该公司不具备该业务的安全生产许可。</w:t>
      </w:r>
    </w:p>
    <w:p w14:paraId="3F158FD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rPr>
      </w:pPr>
      <w:bookmarkStart w:id="6" w:name="_Toc60"/>
      <w:r>
        <w:rPr>
          <w:rFonts w:hint="eastAsia" w:ascii="CESI楷体-GB2312" w:hAnsi="CESI楷体-GB2312" w:eastAsia="CESI楷体-GB2312" w:cs="CESI楷体-GB2312"/>
          <w:b w:val="0"/>
          <w:bCs w:val="0"/>
          <w:snapToGrid w:val="0"/>
          <w:color w:val="auto"/>
          <w:kern w:val="0"/>
          <w:sz w:val="32"/>
          <w:szCs w:val="32"/>
          <w:highlight w:val="none"/>
        </w:rPr>
        <w:t>（</w:t>
      </w:r>
      <w:r>
        <w:rPr>
          <w:rFonts w:hint="eastAsia" w:ascii="CESI楷体-GB2312" w:hAnsi="CESI楷体-GB2312" w:eastAsia="CESI楷体-GB2312" w:cs="CESI楷体-GB2312"/>
          <w:b w:val="0"/>
          <w:bCs w:val="0"/>
          <w:snapToGrid w:val="0"/>
          <w:color w:val="auto"/>
          <w:kern w:val="0"/>
          <w:sz w:val="32"/>
          <w:szCs w:val="32"/>
          <w:highlight w:val="none"/>
          <w:lang w:eastAsia="zh-CN"/>
        </w:rPr>
        <w:t>二</w:t>
      </w:r>
      <w:r>
        <w:rPr>
          <w:rFonts w:hint="eastAsia" w:ascii="CESI楷体-GB2312" w:hAnsi="CESI楷体-GB2312" w:eastAsia="CESI楷体-GB2312" w:cs="CESI楷体-GB2312"/>
          <w:b w:val="0"/>
          <w:bCs w:val="0"/>
          <w:snapToGrid w:val="0"/>
          <w:color w:val="auto"/>
          <w:kern w:val="0"/>
          <w:sz w:val="32"/>
          <w:szCs w:val="32"/>
          <w:highlight w:val="none"/>
        </w:rPr>
        <w:t>）事故</w:t>
      </w:r>
      <w:r>
        <w:rPr>
          <w:rFonts w:hint="eastAsia" w:ascii="CESI楷体-GB2312" w:hAnsi="CESI楷体-GB2312" w:eastAsia="CESI楷体-GB2312" w:cs="CESI楷体-GB2312"/>
          <w:b w:val="0"/>
          <w:bCs w:val="0"/>
          <w:snapToGrid w:val="0"/>
          <w:color w:val="auto"/>
          <w:kern w:val="0"/>
          <w:sz w:val="32"/>
          <w:szCs w:val="32"/>
          <w:highlight w:val="none"/>
          <w:lang w:eastAsia="zh-CN"/>
        </w:rPr>
        <w:t>发生</w:t>
      </w:r>
      <w:r>
        <w:rPr>
          <w:rFonts w:hint="eastAsia" w:ascii="CESI楷体-GB2312" w:hAnsi="CESI楷体-GB2312" w:eastAsia="CESI楷体-GB2312" w:cs="CESI楷体-GB2312"/>
          <w:b w:val="0"/>
          <w:bCs w:val="0"/>
          <w:snapToGrid w:val="0"/>
          <w:color w:val="auto"/>
          <w:kern w:val="0"/>
          <w:sz w:val="32"/>
          <w:szCs w:val="32"/>
          <w:highlight w:val="none"/>
        </w:rPr>
        <w:t>经过</w:t>
      </w:r>
      <w:bookmarkEnd w:id="6"/>
    </w:p>
    <w:p w14:paraId="5BECFEE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调查组在对事故有关信息调取、实地勘查走访及询问相关人员的基础上，结合收集有关资料及事故相关人员对事故发生情况的描述，对事故发生经过还原如下：</w:t>
      </w:r>
    </w:p>
    <w:p w14:paraId="5382CEE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死者：张XX，男，38岁，汉族，身份证号：152XXXXXXXXXXXX613，呼伦贝尔市盛佳工程勘察有限责任公司钻探班长。</w:t>
      </w:r>
    </w:p>
    <w:p w14:paraId="163F543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调查了解：8月31日14时30分许，面包山项目机长王XX安排张XX驾驶履带运输车将拆卸的设备运输到山下。张XX驾驶履带运输车在勘探位置的简易道上行驶，运输作业机具返回山下营地，王XX和姚XX在车后跟随。履带运输车在沿陡坡向下山行驶的过程中，向一侧滑移，履带运输车驾驶员张XX（死者）从车上跳下来，试图操作让车辆停下来，导致车辆把张XX压在了车下。姚XX看到张XX被压在车下后去停止了运行中的运输车，王XX和姚XX在车边喊张XX没有应答，随后王XX去山上喊人。王XX听到王XX喊出事了，叫山上的工友一起前去救援。山上的工人到了事发地点，王XX先让工人把车上的设备卸下来再抬车救援。8个人将车抬起来后，张XX（班长）和岳XX（力工）将张XX从车下拽出，随后安排人员将张XX搬运至山下。</w:t>
      </w:r>
    </w:p>
    <w:p w14:paraId="5C15989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rPr>
      </w:pPr>
      <w:bookmarkStart w:id="7" w:name="_Toc13960"/>
      <w:r>
        <w:rPr>
          <w:rFonts w:hint="eastAsia" w:ascii="CESI楷体-GB2312" w:hAnsi="CESI楷体-GB2312" w:eastAsia="CESI楷体-GB2312" w:cs="CESI楷体-GB2312"/>
          <w:b w:val="0"/>
          <w:bCs w:val="0"/>
          <w:snapToGrid w:val="0"/>
          <w:color w:val="auto"/>
          <w:kern w:val="0"/>
          <w:sz w:val="32"/>
          <w:szCs w:val="32"/>
          <w:highlight w:val="none"/>
        </w:rPr>
        <w:t>（</w:t>
      </w:r>
      <w:r>
        <w:rPr>
          <w:rFonts w:hint="eastAsia" w:ascii="CESI楷体-GB2312" w:hAnsi="CESI楷体-GB2312" w:eastAsia="CESI楷体-GB2312" w:cs="CESI楷体-GB2312"/>
          <w:b w:val="0"/>
          <w:bCs w:val="0"/>
          <w:snapToGrid w:val="0"/>
          <w:color w:val="auto"/>
          <w:kern w:val="0"/>
          <w:sz w:val="32"/>
          <w:szCs w:val="32"/>
          <w:highlight w:val="none"/>
          <w:lang w:eastAsia="zh-CN"/>
        </w:rPr>
        <w:t>三</w:t>
      </w:r>
      <w:r>
        <w:rPr>
          <w:rFonts w:hint="eastAsia" w:ascii="CESI楷体-GB2312" w:hAnsi="CESI楷体-GB2312" w:eastAsia="CESI楷体-GB2312" w:cs="CESI楷体-GB2312"/>
          <w:b w:val="0"/>
          <w:bCs w:val="0"/>
          <w:snapToGrid w:val="0"/>
          <w:color w:val="auto"/>
          <w:kern w:val="0"/>
          <w:sz w:val="32"/>
          <w:szCs w:val="32"/>
          <w:highlight w:val="none"/>
        </w:rPr>
        <w:t>）事故</w:t>
      </w:r>
      <w:r>
        <w:rPr>
          <w:rFonts w:hint="eastAsia" w:ascii="CESI楷体-GB2312" w:hAnsi="CESI楷体-GB2312" w:eastAsia="CESI楷体-GB2312" w:cs="CESI楷体-GB2312"/>
          <w:b w:val="0"/>
          <w:bCs w:val="0"/>
          <w:snapToGrid w:val="0"/>
          <w:color w:val="auto"/>
          <w:kern w:val="0"/>
          <w:sz w:val="32"/>
          <w:szCs w:val="32"/>
          <w:highlight w:val="none"/>
          <w:lang w:eastAsia="zh-CN"/>
        </w:rPr>
        <w:t>现场情况</w:t>
      </w:r>
      <w:bookmarkEnd w:id="7"/>
    </w:p>
    <w:p w14:paraId="00387F67">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 w:hAnsi="仿宋" w:eastAsia="仿宋" w:cs="仿宋"/>
          <w:b/>
          <w:bCs/>
          <w:snapToGrid w:val="0"/>
          <w:color w:val="auto"/>
          <w:kern w:val="0"/>
          <w:sz w:val="32"/>
          <w:szCs w:val="32"/>
          <w:highlight w:val="none"/>
          <w:lang w:val="en-US" w:eastAsia="zh-CN"/>
        </w:rPr>
        <w:t>事故发生地点：</w:t>
      </w:r>
      <w:r>
        <w:rPr>
          <w:rFonts w:hint="eastAsia" w:ascii="仿宋_GB2312" w:hAnsi="仿宋_GB2312" w:eastAsia="仿宋_GB2312" w:cs="仿宋_GB2312"/>
          <w:snapToGrid w:val="0"/>
          <w:color w:val="auto"/>
          <w:kern w:val="0"/>
          <w:sz w:val="32"/>
          <w:szCs w:val="32"/>
          <w:highlight w:val="none"/>
          <w:lang w:val="en-US" w:eastAsia="zh-CN" w:bidi="ar-SA"/>
        </w:rPr>
        <w:t>呼伦贝尔市根河市满归镇高地林场18支线3公里向西北山坡的简易道约2公里处作业点（离满归镇区约50公里）</w:t>
      </w:r>
    </w:p>
    <w:p w14:paraId="5922575E">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 w:hAnsi="仿宋" w:eastAsia="仿宋" w:cs="仿宋"/>
          <w:b/>
          <w:bCs/>
          <w:snapToGrid w:val="0"/>
          <w:color w:val="auto"/>
          <w:kern w:val="0"/>
          <w:sz w:val="32"/>
          <w:szCs w:val="32"/>
          <w:highlight w:val="none"/>
          <w:lang w:val="en-US" w:eastAsia="zh-CN"/>
        </w:rPr>
        <w:t>作业人员情况：</w:t>
      </w:r>
      <w:r>
        <w:rPr>
          <w:rFonts w:hint="eastAsia" w:ascii="仿宋_GB2312" w:hAnsi="仿宋_GB2312" w:eastAsia="仿宋_GB2312" w:cs="仿宋_GB2312"/>
          <w:snapToGrid w:val="0"/>
          <w:color w:val="auto"/>
          <w:kern w:val="0"/>
          <w:sz w:val="32"/>
          <w:szCs w:val="32"/>
          <w:highlight w:val="none"/>
          <w:lang w:val="en-US" w:eastAsia="zh-CN" w:bidi="ar-SA"/>
        </w:rPr>
        <w:t>机长王XX安排张XX(死者)驾驶履带运输车将拆卸的设备运输到山下，王XX和姚XX在车后跟随，履带车发生侧滑，张XX(死者)跳车被压在车下，王XX等人喊人救援。</w:t>
      </w:r>
    </w:p>
    <w:p w14:paraId="4A171907">
      <w:pPr>
        <w:keepNext w:val="0"/>
        <w:keepLines w:val="0"/>
        <w:pageBreakBefore w:val="0"/>
        <w:widowControl w:val="0"/>
        <w:kinsoku/>
        <w:wordWrap/>
        <w:overflowPunct/>
        <w:topLinePunct w:val="0"/>
        <w:autoSpaceDE/>
        <w:autoSpaceDN/>
        <w:bidi w:val="0"/>
        <w:adjustRightInd/>
        <w:snapToGrid w:val="0"/>
        <w:spacing w:line="560" w:lineRule="exact"/>
        <w:ind w:firstLine="64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 w:hAnsi="仿宋" w:eastAsia="仿宋" w:cs="仿宋"/>
          <w:b/>
          <w:bCs/>
          <w:snapToGrid w:val="0"/>
          <w:color w:val="auto"/>
          <w:kern w:val="0"/>
          <w:sz w:val="32"/>
          <w:szCs w:val="32"/>
          <w:highlight w:val="none"/>
          <w:lang w:val="en-US" w:eastAsia="zh-CN"/>
        </w:rPr>
        <w:t>设备使用情况：</w:t>
      </w:r>
      <w:r>
        <w:rPr>
          <w:rFonts w:hint="eastAsia" w:ascii="仿宋_GB2312" w:hAnsi="仿宋_GB2312" w:eastAsia="仿宋_GB2312" w:cs="仿宋_GB2312"/>
          <w:snapToGrid w:val="0"/>
          <w:color w:val="auto"/>
          <w:kern w:val="0"/>
          <w:sz w:val="32"/>
          <w:szCs w:val="32"/>
          <w:highlight w:val="none"/>
          <w:lang w:val="en-US" w:eastAsia="zh-CN" w:bidi="ar-SA"/>
        </w:rPr>
        <w:t>无号牌履带式运输车，所有人为呼伦贝尔市盛佳工程勘察有限责任公司，生产厂家山东亿宸机械集团有限公司，型号YC-E3000型履带运输车，发动机型号为QC28D，编号为：1016851，核定载额3000kg，外廓尺寸为3000×1800×1600mm。</w:t>
      </w:r>
    </w:p>
    <w:p w14:paraId="44118DE9">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 w:hAnsi="仿宋" w:eastAsia="仿宋" w:cs="仿宋"/>
          <w:b/>
          <w:bCs/>
          <w:snapToGrid w:val="0"/>
          <w:color w:val="auto"/>
          <w:kern w:val="0"/>
          <w:sz w:val="32"/>
          <w:szCs w:val="32"/>
          <w:highlight w:val="none"/>
          <w:lang w:val="en-US" w:eastAsia="zh-CN"/>
        </w:rPr>
        <w:t>现场勘验情况</w:t>
      </w:r>
      <w:r>
        <w:rPr>
          <w:rFonts w:hint="eastAsia" w:ascii="仿宋" w:hAnsi="仿宋" w:cs="仿宋"/>
          <w:b/>
          <w:bCs/>
          <w:snapToGrid w:val="0"/>
          <w:color w:val="auto"/>
          <w:kern w:val="0"/>
          <w:sz w:val="32"/>
          <w:szCs w:val="32"/>
          <w:highlight w:val="none"/>
          <w:lang w:val="en-US" w:eastAsia="zh-CN"/>
        </w:rPr>
        <w:t>：</w:t>
      </w:r>
      <w:r>
        <w:rPr>
          <w:rFonts w:hint="eastAsia" w:ascii="仿宋_GB2312" w:hAnsi="仿宋_GB2312" w:eastAsia="仿宋_GB2312" w:cs="仿宋_GB2312"/>
          <w:snapToGrid w:val="0"/>
          <w:color w:val="auto"/>
          <w:kern w:val="0"/>
          <w:sz w:val="32"/>
          <w:szCs w:val="32"/>
          <w:highlight w:val="none"/>
          <w:lang w:val="en-US" w:eastAsia="zh-CN" w:bidi="ar-SA"/>
        </w:rPr>
        <w:t>2025年9月6日9时30分许，根河市应急管理局执法人员协同内蒙古大兴安岭森林公安局满归分局</w:t>
      </w:r>
      <w:bookmarkStart w:id="38" w:name="_GoBack"/>
      <w:bookmarkEnd w:id="38"/>
      <w:r>
        <w:rPr>
          <w:rFonts w:hint="eastAsia" w:ascii="仿宋_GB2312" w:hAnsi="仿宋_GB2312" w:eastAsia="仿宋_GB2312" w:cs="仿宋_GB2312"/>
          <w:snapToGrid w:val="0"/>
          <w:color w:val="auto"/>
          <w:kern w:val="0"/>
          <w:sz w:val="32"/>
          <w:szCs w:val="32"/>
          <w:highlight w:val="none"/>
          <w:lang w:val="en-US" w:eastAsia="zh-CN" w:bidi="ar-SA"/>
        </w:rPr>
        <w:t>派出所、根河市总工会、根河市自然资源局、满归镇政府及事故调查专家对根河满归呼伦贝尔市盛佳工程勘察有限责任公司“8·31”一般车辆伤害事故进行现场勘验。</w:t>
      </w:r>
    </w:p>
    <w:p w14:paraId="2AD0D67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勘验现场位于满归镇高地林场18支线延长线3公里向西北山坡的简易道路2公里左右，勘验是在自然光下进行，现场无通讯信号，手机无法定位，勘验时因救援需要履带车已前移。勘验现场可见简易路东侧停放一辆履带运输车，车头向南，车尾向北，栽入路旁树丛中，车尾翘起，经现场测量履带运输车上翘车身长3米，宽1.8米，高度0.65米。经现场目击者指认，履带运输车后部平板上可见有后焊接的三个立柱，平板四周分布有四个液压缸支腿。履带运输车车身仅可见柴油发动机铭牌一处，该铭牌显示柴油机标定功率20.6KW，标定转速2200r/min，编号为NO1076851。经现场目击者模拟履带运输车操作区位于车身的前部左侧，前部无防护，张XX（死者）事发前是坐在电瓶箱上进行操作履带运输车的，靠近电瓶箱一侧依次是左转操作杆、右转操作杆（左右操作杆同时下压是刹车）、挡杆（1、2、3、R挡）、快慢杆。</w:t>
      </w:r>
    </w:p>
    <w:p w14:paraId="6563CBF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对车底观察可见车底一颗松木卷入车架中，该运输车履带宽0.35米，通过与山坡处残留的车辙印记进行比对，以及目击者指认还原可知，履带运输车在下坡过程中发生侧滑，侧滑方向是车辆行进方向的左侧，通过对现场坡度的测量该处山坡最小坡度为17°，最大坡度24°，在最大坡度角处有一残留树桩，根据车辙痕迹观察，可知车辆右侧履带从残留树桩右侧压过，驶入简易路行进方向左侧树丛中。</w:t>
      </w:r>
    </w:p>
    <w:p w14:paraId="5506354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通过对现场散落物品指认和对现场目击者了解，现场散落用具为事发时履带车车载物，对死者救援时卸载四周，重量约为0.9吨，履带车向西简易路地面放置一钻井操作台，由此向西为帐篷铁架，此操作台向北为一台发动机，由此向北铁皮工作箱，内有工具，此工具箱向东为一液压油箱和一发动机，周围还散落有液压油桶。履带车车尾向北见一蓝红纹路运动鞋（经指认为死者张XX所穿），为右脚，被压在树枝下，鞋北侧为一发动机。履带车东北方向放置一捆帐篷铁架，履带车南侧有零散液压油桶，履带车东侧、南侧均为树林（现场立面示意图见图2）。</w:t>
      </w:r>
    </w:p>
    <w:p w14:paraId="6C7B6C2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通过现场目击者模拟还原，死者张XX当时被困在履带车平板下部，被一松木杆卡住右腿，面向下，成跪姿，蜷缩在车下，救援出后腿部和臀部裤子有损毁，面部铁青，其他未见明显血迹和伤痕。</w:t>
      </w:r>
    </w:p>
    <w:p w14:paraId="6CB873B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p>
    <w:p w14:paraId="6A3CD458">
      <w:pPr>
        <w:pStyle w:val="13"/>
        <w:keepNext w:val="0"/>
        <w:keepLines w:val="0"/>
        <w:pageBreakBefore w:val="0"/>
        <w:kinsoku/>
        <w:wordWrap/>
        <w:overflowPunct/>
        <w:topLinePunct w:val="0"/>
        <w:autoSpaceDE/>
        <w:autoSpaceDN/>
        <w:bidi w:val="0"/>
        <w:adjustRightInd/>
        <w:snapToGrid w:val="0"/>
        <w:spacing w:after="0"/>
        <w:ind w:left="0" w:leftChars="0" w:firstLine="0" w:firstLineChars="0"/>
        <w:jc w:val="center"/>
        <w:textAlignment w:val="auto"/>
        <w:rPr>
          <w:rFonts w:hint="default" w:ascii="仿宋_GB2312" w:hAnsi="仿宋_GB2312" w:eastAsia="仿宋_GB2312" w:cs="仿宋_GB2312"/>
          <w:b/>
          <w:bCs/>
          <w:snapToGrid w:val="0"/>
          <w:color w:val="auto"/>
          <w:kern w:val="0"/>
          <w:sz w:val="30"/>
          <w:szCs w:val="30"/>
          <w:highlight w:val="none"/>
          <w:lang w:val="en-US" w:eastAsia="zh-CN"/>
        </w:rPr>
      </w:pPr>
      <w:r>
        <w:rPr>
          <w:snapToGrid w:val="0"/>
          <w:kern w:val="0"/>
          <w:highlight w:val="none"/>
        </w:rPr>
        <w:drawing>
          <wp:inline distT="0" distB="0" distL="114300" distR="114300">
            <wp:extent cx="5085715" cy="3600450"/>
            <wp:effectExtent l="0" t="0" r="635" b="0"/>
            <wp:docPr id="3" name="图片 2" descr="00f6bf85edeab9fb639c6b8bef97b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00f6bf85edeab9fb639c6b8bef97bab"/>
                    <pic:cNvPicPr>
                      <a:picLocks noChangeAspect="1"/>
                    </pic:cNvPicPr>
                  </pic:nvPicPr>
                  <pic:blipFill>
                    <a:blip r:embed="rId9"/>
                    <a:stretch>
                      <a:fillRect/>
                    </a:stretch>
                  </pic:blipFill>
                  <pic:spPr>
                    <a:xfrm>
                      <a:off x="0" y="0"/>
                      <a:ext cx="5085715" cy="3600450"/>
                    </a:xfrm>
                    <a:prstGeom prst="rect">
                      <a:avLst/>
                    </a:prstGeom>
                    <a:noFill/>
                    <a:ln>
                      <a:noFill/>
                    </a:ln>
                  </pic:spPr>
                </pic:pic>
              </a:graphicData>
            </a:graphic>
          </wp:inline>
        </w:drawing>
      </w:r>
      <w:r>
        <w:rPr>
          <w:rFonts w:hint="eastAsia" w:ascii="仿宋" w:hAnsi="仿宋" w:eastAsia="仿宋" w:cs="仿宋"/>
          <w:b/>
          <w:bCs/>
          <w:snapToGrid w:val="0"/>
          <w:color w:val="auto"/>
          <w:kern w:val="0"/>
          <w:sz w:val="30"/>
          <w:szCs w:val="30"/>
          <w:highlight w:val="none"/>
          <w:lang w:val="en-US" w:eastAsia="zh-CN"/>
        </w:rPr>
        <w:t>图1：</w:t>
      </w:r>
      <w:r>
        <w:rPr>
          <w:rFonts w:hint="eastAsia" w:ascii="仿宋_GB2312" w:hAnsi="仿宋_GB2312" w:eastAsia="仿宋_GB2312" w:cs="仿宋_GB2312"/>
          <w:b/>
          <w:bCs/>
          <w:snapToGrid w:val="0"/>
          <w:color w:val="auto"/>
          <w:kern w:val="0"/>
          <w:sz w:val="30"/>
          <w:szCs w:val="30"/>
          <w:highlight w:val="none"/>
          <w:lang w:val="en-US" w:eastAsia="zh-CN"/>
        </w:rPr>
        <w:t>涉事履带运输车</w:t>
      </w:r>
    </w:p>
    <w:p w14:paraId="7F4958B6">
      <w:pPr>
        <w:keepNext w:val="0"/>
        <w:keepLines w:val="0"/>
        <w:pageBreakBefore w:val="0"/>
        <w:kinsoku/>
        <w:wordWrap/>
        <w:overflowPunct/>
        <w:topLinePunct w:val="0"/>
        <w:autoSpaceDE/>
        <w:autoSpaceDN/>
        <w:bidi w:val="0"/>
        <w:adjustRightInd/>
        <w:snapToGrid w:val="0"/>
        <w:jc w:val="both"/>
        <w:textAlignment w:val="auto"/>
        <w:rPr>
          <w:snapToGrid w:val="0"/>
          <w:kern w:val="0"/>
          <w:highlight w:val="none"/>
        </w:rPr>
      </w:pPr>
      <w:r>
        <w:rPr>
          <w:snapToGrid w:val="0"/>
          <w:kern w:val="0"/>
          <w:highlight w:val="none"/>
        </w:rPr>
        <w:drawing>
          <wp:inline distT="0" distB="0" distL="114300" distR="114300">
            <wp:extent cx="5255895" cy="3804920"/>
            <wp:effectExtent l="0" t="0" r="1905" b="50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5255895" cy="3804920"/>
                    </a:xfrm>
                    <a:prstGeom prst="rect">
                      <a:avLst/>
                    </a:prstGeom>
                    <a:noFill/>
                    <a:ln>
                      <a:noFill/>
                    </a:ln>
                  </pic:spPr>
                </pic:pic>
              </a:graphicData>
            </a:graphic>
          </wp:inline>
        </w:drawing>
      </w:r>
    </w:p>
    <w:p w14:paraId="302709F2">
      <w:pPr>
        <w:pStyle w:val="13"/>
        <w:keepNext w:val="0"/>
        <w:keepLines w:val="0"/>
        <w:pageBreakBefore w:val="0"/>
        <w:kinsoku/>
        <w:wordWrap/>
        <w:overflowPunct/>
        <w:topLinePunct w:val="0"/>
        <w:autoSpaceDE/>
        <w:autoSpaceDN/>
        <w:bidi w:val="0"/>
        <w:adjustRightInd/>
        <w:snapToGrid w:val="0"/>
        <w:spacing w:after="0"/>
        <w:ind w:left="0" w:leftChars="0" w:firstLine="0" w:firstLineChars="0"/>
        <w:jc w:val="center"/>
        <w:textAlignment w:val="auto"/>
        <w:rPr>
          <w:rFonts w:hint="eastAsia" w:ascii="仿宋" w:hAnsi="仿宋" w:eastAsia="仿宋" w:cs="仿宋"/>
          <w:b/>
          <w:bCs/>
          <w:snapToGrid w:val="0"/>
          <w:color w:val="auto"/>
          <w:kern w:val="0"/>
          <w:sz w:val="30"/>
          <w:szCs w:val="30"/>
          <w:highlight w:val="none"/>
          <w:lang w:val="en-US" w:eastAsia="zh-CN"/>
        </w:rPr>
      </w:pPr>
      <w:r>
        <w:rPr>
          <w:rFonts w:hint="eastAsia" w:ascii="仿宋" w:hAnsi="仿宋" w:eastAsia="仿宋" w:cs="仿宋"/>
          <w:b/>
          <w:bCs/>
          <w:snapToGrid w:val="0"/>
          <w:color w:val="auto"/>
          <w:kern w:val="0"/>
          <w:sz w:val="30"/>
          <w:szCs w:val="30"/>
          <w:highlight w:val="none"/>
          <w:lang w:val="en-US" w:eastAsia="zh-CN"/>
        </w:rPr>
        <w:t>图2</w:t>
      </w:r>
      <w:r>
        <w:rPr>
          <w:rFonts w:hint="eastAsia" w:ascii="仿宋" w:hAnsi="仿宋" w:cs="仿宋"/>
          <w:b/>
          <w:bCs/>
          <w:snapToGrid w:val="0"/>
          <w:color w:val="auto"/>
          <w:kern w:val="0"/>
          <w:sz w:val="30"/>
          <w:szCs w:val="30"/>
          <w:highlight w:val="none"/>
          <w:lang w:val="en-US" w:eastAsia="zh-CN"/>
        </w:rPr>
        <w:t>：</w:t>
      </w:r>
      <w:r>
        <w:rPr>
          <w:rFonts w:hint="eastAsia" w:ascii="仿宋" w:hAnsi="仿宋" w:eastAsia="仿宋" w:cs="仿宋"/>
          <w:b/>
          <w:bCs/>
          <w:snapToGrid w:val="0"/>
          <w:color w:val="auto"/>
          <w:kern w:val="0"/>
          <w:sz w:val="30"/>
          <w:szCs w:val="30"/>
          <w:highlight w:val="none"/>
          <w:lang w:val="en-US" w:eastAsia="zh-CN"/>
        </w:rPr>
        <w:t>现场立面示意图</w:t>
      </w:r>
    </w:p>
    <w:p w14:paraId="4492DAE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8" w:name="_Toc19099"/>
      <w:r>
        <w:rPr>
          <w:rFonts w:hint="eastAsia" w:ascii="CESI楷体-GB2312" w:hAnsi="CESI楷体-GB2312" w:eastAsia="CESI楷体-GB2312" w:cs="CESI楷体-GB2312"/>
          <w:b w:val="0"/>
          <w:bCs w:val="0"/>
          <w:snapToGrid w:val="0"/>
          <w:color w:val="auto"/>
          <w:kern w:val="0"/>
          <w:sz w:val="32"/>
          <w:szCs w:val="32"/>
          <w:highlight w:val="none"/>
          <w:lang w:val="en-US" w:eastAsia="zh-CN"/>
        </w:rPr>
        <w:t>（四）人员伤亡和直接经济损失情况</w:t>
      </w:r>
      <w:bookmarkEnd w:id="8"/>
      <w:r>
        <w:rPr>
          <w:rFonts w:hint="eastAsia" w:ascii="CESI楷体-GB2312" w:hAnsi="CESI楷体-GB2312" w:eastAsia="CESI楷体-GB2312" w:cs="CESI楷体-GB2312"/>
          <w:b w:val="0"/>
          <w:bCs w:val="0"/>
          <w:snapToGrid w:val="0"/>
          <w:color w:val="auto"/>
          <w:kern w:val="0"/>
          <w:sz w:val="32"/>
          <w:szCs w:val="32"/>
          <w:highlight w:val="none"/>
          <w:lang w:val="en-US" w:eastAsia="zh-CN"/>
        </w:rPr>
        <w:t xml:space="preserve"> </w:t>
      </w:r>
    </w:p>
    <w:p w14:paraId="1846713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事故造成1人死亡，死者：张XX，男，37岁，汉族，身份证号：152XXXXXXXXXXXX613，呼伦贝尔市盛佳工程勘察有限责任公司钻探班长。</w:t>
      </w:r>
    </w:p>
    <w:p w14:paraId="04BF35A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事故造成直接经济损失直接经济损失457735元。</w:t>
      </w:r>
    </w:p>
    <w:p w14:paraId="6EFE35C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9" w:name="_Toc47"/>
      <w:r>
        <w:rPr>
          <w:rFonts w:hint="eastAsia" w:ascii="黑体" w:hAnsi="黑体" w:eastAsia="黑体" w:cs="黑体"/>
          <w:snapToGrid w:val="0"/>
          <w:kern w:val="0"/>
          <w:sz w:val="32"/>
          <w:szCs w:val="32"/>
          <w:highlight w:val="none"/>
          <w:lang w:val="en-US" w:eastAsia="zh-CN"/>
        </w:rPr>
        <w:t>三、事故应急处置及评估情况</w:t>
      </w:r>
      <w:bookmarkEnd w:id="9"/>
      <w:r>
        <w:rPr>
          <w:rFonts w:hint="eastAsia" w:ascii="黑体" w:hAnsi="黑体" w:eastAsia="黑体" w:cs="黑体"/>
          <w:snapToGrid w:val="0"/>
          <w:kern w:val="0"/>
          <w:sz w:val="32"/>
          <w:szCs w:val="32"/>
          <w:highlight w:val="none"/>
          <w:lang w:val="en-US" w:eastAsia="zh-CN"/>
        </w:rPr>
        <w:t xml:space="preserve"> </w:t>
      </w:r>
    </w:p>
    <w:p w14:paraId="79D6621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eastAsia="zh-CN"/>
        </w:rPr>
      </w:pPr>
      <w:bookmarkStart w:id="10" w:name="_Toc1527"/>
      <w:r>
        <w:rPr>
          <w:rFonts w:hint="eastAsia" w:ascii="CESI楷体-GB2312" w:hAnsi="CESI楷体-GB2312" w:eastAsia="CESI楷体-GB2312" w:cs="CESI楷体-GB2312"/>
          <w:b w:val="0"/>
          <w:bCs w:val="0"/>
          <w:snapToGrid w:val="0"/>
          <w:color w:val="auto"/>
          <w:kern w:val="0"/>
          <w:sz w:val="32"/>
          <w:szCs w:val="32"/>
          <w:highlight w:val="none"/>
          <w:lang w:eastAsia="zh-CN"/>
        </w:rPr>
        <w:t>（一）事故信息接报及响应情况</w:t>
      </w:r>
      <w:bookmarkEnd w:id="10"/>
    </w:p>
    <w:p w14:paraId="36262A1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2025年8月31日15时15分王XX向盛佳公司杨XX报告事故，同时盛佳公司杨XX通知办公室人员裴XX向上级进行报告，15时17分许盛佳公司办公室人员裴XX向地勘六公司安全环境工程部部长唐XX进行事故报告，15时19分地勘六公司安全环境工程部部长唐XX向地勘六公司分管安全副总经理刘XX进行事故报告，15时25分和15时30分地勘六公司分管安全副总经理刘XX分别向公司董事长孙XX和总经理付XX进行事故报告，16时13分和16时15分安全环境工程部部长唐XX受董事长孙XX指示分别向呼伦贝尔市应急管理局和根河市应急管理局进行事故报告，根河市应急管理局接到报告后16时33分和16时40分别向根河市政府和呼伦贝尔市应急管理局报告。事故发生单位全程如实报告，不存在谎报、瞒报、迟报情形。</w:t>
      </w:r>
    </w:p>
    <w:p w14:paraId="4226B294">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11" w:name="_Toc19775"/>
      <w:r>
        <w:rPr>
          <w:rFonts w:hint="eastAsia" w:ascii="CESI楷体-GB2312" w:hAnsi="CESI楷体-GB2312" w:eastAsia="CESI楷体-GB2312" w:cs="CESI楷体-GB2312"/>
          <w:b w:val="0"/>
          <w:bCs w:val="0"/>
          <w:snapToGrid w:val="0"/>
          <w:color w:val="auto"/>
          <w:kern w:val="0"/>
          <w:sz w:val="32"/>
          <w:szCs w:val="32"/>
          <w:highlight w:val="none"/>
          <w:lang w:val="en-US" w:eastAsia="zh-CN"/>
        </w:rPr>
        <w:t>（二）事故现场应急处置情况</w:t>
      </w:r>
      <w:bookmarkEnd w:id="11"/>
    </w:p>
    <w:p w14:paraId="246DE84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后，姚XX看到张XX被压在车下后去停止了运行中的运输车，姚XX和王XX在车边喊张XX没有应答，随后王XX去山上喊人。王XX听到王XX喊出事了，叫山上的工友一起前去救援。山上的工人到了事发地点，王XX先让工人把车上的设备卸下来再抬车救援。8个人将车抬起来后，张XX和岳XX将张XX从车下拽出，随后安排人员将张XX搬运至山下。</w:t>
      </w:r>
    </w:p>
    <w:p w14:paraId="7D45BF6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12" w:name="_Toc18679"/>
      <w:r>
        <w:rPr>
          <w:rFonts w:hint="eastAsia" w:ascii="CESI楷体-GB2312" w:hAnsi="CESI楷体-GB2312" w:eastAsia="CESI楷体-GB2312" w:cs="CESI楷体-GB2312"/>
          <w:b w:val="0"/>
          <w:bCs w:val="0"/>
          <w:snapToGrid w:val="0"/>
          <w:color w:val="auto"/>
          <w:kern w:val="0"/>
          <w:sz w:val="32"/>
          <w:szCs w:val="32"/>
          <w:highlight w:val="none"/>
          <w:lang w:val="en-US" w:eastAsia="zh-CN"/>
        </w:rPr>
        <w:t>（三）医疗救治和善后情况</w:t>
      </w:r>
      <w:bookmarkEnd w:id="12"/>
    </w:p>
    <w:p w14:paraId="528812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后，2025年8月31日15时08分王XX拨打根河市的120急救电话，120询问事发地点后，根据就近原则让其联系漠河市人民医院的120救护车。15时44分许王XX通过根河市120指挥中心联系到漠河市人民医院，16时44分左右漠河市人民医院的120救护车与王XX的车辆相遇，并进行抢救。王XX同时拨打110报警，17时26分漠河市人民医院确认张XX死亡。</w:t>
      </w:r>
    </w:p>
    <w:p w14:paraId="7F98602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事故发生后，内蒙古第六地质矿产勘查有限责任公司积极与家属进行沟通，全力安抚家属情绪，与家属达成和解协议，未发生社会不良舆论信息。</w:t>
      </w:r>
    </w:p>
    <w:p w14:paraId="7E4C69B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13" w:name="_Toc3792"/>
      <w:r>
        <w:rPr>
          <w:rFonts w:hint="eastAsia" w:ascii="CESI楷体-GB2312" w:hAnsi="CESI楷体-GB2312" w:eastAsia="CESI楷体-GB2312" w:cs="CESI楷体-GB2312"/>
          <w:b w:val="0"/>
          <w:bCs w:val="0"/>
          <w:snapToGrid w:val="0"/>
          <w:color w:val="auto"/>
          <w:kern w:val="0"/>
          <w:sz w:val="32"/>
          <w:szCs w:val="32"/>
          <w:highlight w:val="none"/>
          <w:lang w:val="en-US" w:eastAsia="zh-CN"/>
        </w:rPr>
        <w:t>（四）事故应急处置评估</w:t>
      </w:r>
      <w:bookmarkEnd w:id="13"/>
    </w:p>
    <w:p w14:paraId="1E54B7C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根据调查询问和各单位提供资料，调查组认为事发后，属地救援部门能够根据辖区特点因地制宜的组织涉事企业进行自救，并协助临近省份急救人员对遇难者进行救援。事故发生企业接到报告后，第一时间启动应急响应，并迅速报告事故，积极救治遇难者，各救援单位始终坚持“两个至上”，统筹调度各方力量，有效控制救援风险，安全有序开展救援工作，且及时救治受伤人员，积极稳妥开展善后处置工作。</w:t>
      </w:r>
    </w:p>
    <w:p w14:paraId="51CC494A">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仿宋_GB2312" w:eastAsia="仿宋_GB2312"/>
          <w:b/>
          <w:bCs/>
          <w:snapToGrid w:val="0"/>
          <w:color w:val="auto"/>
          <w:kern w:val="0"/>
          <w:sz w:val="32"/>
          <w:szCs w:val="32"/>
          <w:highlight w:val="none"/>
          <w:lang w:eastAsia="zh-CN"/>
        </w:rPr>
      </w:pPr>
      <w:bookmarkStart w:id="14" w:name="_Toc18738"/>
      <w:r>
        <w:rPr>
          <w:rFonts w:hint="eastAsia" w:ascii="黑体" w:hAnsi="黑体" w:eastAsia="黑体" w:cs="黑体"/>
          <w:snapToGrid w:val="0"/>
          <w:kern w:val="0"/>
          <w:sz w:val="32"/>
          <w:szCs w:val="32"/>
          <w:highlight w:val="none"/>
          <w:lang w:val="en-US" w:eastAsia="zh-CN"/>
        </w:rPr>
        <w:t>四、事故原因分析</w:t>
      </w:r>
      <w:bookmarkEnd w:id="14"/>
      <w:r>
        <w:rPr>
          <w:rFonts w:hint="eastAsia" w:ascii="仿宋_GB2312" w:eastAsia="仿宋_GB2312"/>
          <w:b/>
          <w:bCs/>
          <w:snapToGrid w:val="0"/>
          <w:color w:val="auto"/>
          <w:kern w:val="0"/>
          <w:sz w:val="32"/>
          <w:szCs w:val="32"/>
          <w:highlight w:val="none"/>
          <w:lang w:eastAsia="zh-CN"/>
        </w:rPr>
        <w:t xml:space="preserve"> </w:t>
      </w:r>
    </w:p>
    <w:p w14:paraId="20CD55E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现场勘查，询问相关人员，调阅有关档案、记录、报告等材料，以及公安机关出具的询问笔录、排除他杀情况说明和漠河市人民医院出具《居民死亡医学证明（推断）书》，根据国家标准GB6441-86（企业职工伤亡事故分类标准）GB6442-86（企业职工伤亡事故调查分析规则）调查组综合分析认为：</w:t>
      </w:r>
    </w:p>
    <w:p w14:paraId="08AC41E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15" w:name="_Toc4470"/>
      <w:r>
        <w:rPr>
          <w:rFonts w:hint="eastAsia" w:ascii="CESI楷体-GB2312" w:hAnsi="CESI楷体-GB2312" w:eastAsia="CESI楷体-GB2312" w:cs="CESI楷体-GB2312"/>
          <w:b w:val="0"/>
          <w:bCs w:val="0"/>
          <w:snapToGrid w:val="0"/>
          <w:color w:val="auto"/>
          <w:kern w:val="0"/>
          <w:sz w:val="32"/>
          <w:szCs w:val="32"/>
          <w:highlight w:val="none"/>
          <w:lang w:eastAsia="zh-CN"/>
        </w:rPr>
        <w:t>（一）直接原因</w:t>
      </w:r>
      <w:r>
        <w:rPr>
          <w:rFonts w:hint="eastAsia" w:ascii="CESI楷体-GB2312" w:hAnsi="CESI楷体-GB2312" w:eastAsia="CESI楷体-GB2312" w:cs="CESI楷体-GB2312"/>
          <w:b w:val="0"/>
          <w:bCs w:val="0"/>
          <w:snapToGrid w:val="0"/>
          <w:color w:val="auto"/>
          <w:kern w:val="0"/>
          <w:sz w:val="32"/>
          <w:szCs w:val="32"/>
          <w:highlight w:val="none"/>
          <w:lang w:val="en-US" w:eastAsia="zh-CN"/>
        </w:rPr>
        <w:t>分析</w:t>
      </w:r>
      <w:bookmarkEnd w:id="15"/>
    </w:p>
    <w:p w14:paraId="048B8CE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事故直接原因是张XX在履带运输车发生滑移后，违规跳车进行停车作业，导致事故的发生。</w:t>
      </w:r>
    </w:p>
    <w:p w14:paraId="16250D1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eastAsia="zh-CN"/>
        </w:rPr>
      </w:pPr>
      <w:bookmarkStart w:id="16" w:name="_Toc18135"/>
      <w:bookmarkStart w:id="17" w:name="_Toc16608"/>
      <w:r>
        <w:rPr>
          <w:rFonts w:hint="eastAsia" w:ascii="CESI楷体-GB2312" w:hAnsi="CESI楷体-GB2312" w:eastAsia="CESI楷体-GB2312" w:cs="CESI楷体-GB2312"/>
          <w:b w:val="0"/>
          <w:bCs w:val="0"/>
          <w:snapToGrid w:val="0"/>
          <w:color w:val="auto"/>
          <w:kern w:val="0"/>
          <w:sz w:val="32"/>
          <w:szCs w:val="32"/>
          <w:highlight w:val="none"/>
          <w:lang w:eastAsia="zh-CN"/>
        </w:rPr>
        <w:t>（二）事故相关检验检测和鉴定情况</w:t>
      </w:r>
      <w:bookmarkEnd w:id="16"/>
      <w:bookmarkEnd w:id="17"/>
    </w:p>
    <w:p w14:paraId="6E82522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1.尸检</w:t>
      </w:r>
    </w:p>
    <w:p w14:paraId="7E9541B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2025年9月1日委托呼伦贝尔蓝盾司法鉴定中心，9月2日进行鉴定，根据2025年10月17日出具的《司法鉴定意见书》（呼蓝司法鉴定中心〔2025〕病鉴字第58号）显示，死者张XX符合头部、躯干及四肢受到挤压引起严重的胸部损伤及心功能病变，导致急性呼吸循环功能衰竭死亡，明确了本起事故排除刑事案件。</w:t>
      </w:r>
    </w:p>
    <w:p w14:paraId="093417B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bookmarkStart w:id="18" w:name="_Toc2878"/>
      <w:r>
        <w:rPr>
          <w:rFonts w:hint="eastAsia" w:ascii="仿宋_GB2312" w:hAnsi="仿宋_GB2312" w:eastAsia="仿宋_GB2312" w:cs="仿宋_GB2312"/>
          <w:snapToGrid w:val="0"/>
          <w:color w:val="auto"/>
          <w:kern w:val="0"/>
          <w:sz w:val="32"/>
          <w:szCs w:val="32"/>
          <w:highlight w:val="none"/>
          <w:lang w:val="en-US" w:eastAsia="zh-CN" w:bidi="ar-SA"/>
        </w:rPr>
        <w:t>根据哈尔滨华鸿司法鉴定中心2025年9月11日进行鉴定，2025年9月16日出具的《司法鉴定意见书》（哈华鸿〔2025〕毒司鉴字788号）显示，死者张XX未检出乙醇和甲基苯丙胺，排除醉酒和吸毒驾驶车辆和作业可能。</w:t>
      </w:r>
    </w:p>
    <w:p w14:paraId="170B5D3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2.车辆检验</w:t>
      </w:r>
    </w:p>
    <w:p w14:paraId="1276DB64">
      <w:pPr>
        <w:keepNext w:val="0"/>
        <w:keepLines w:val="0"/>
        <w:pageBreakBefore w:val="0"/>
        <w:widowControl/>
        <w:suppressLineNumbers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根据黑龙江骏博交通事故司法鉴定中心2025年9月11日进行鉴定，2025年9月22日出具的《司法鉴定意见书》（骏博鉴〔2025〕痕迹鉴字3861号）鉴定意见显示，(一)无牌号履带式运输车符合(GA802-2019)《机动车类型术语和定义》中对以动力驱动非道路车辆的定义范畴，该车的车辆类型为以动力驱动非道路车辆。(二)依据检验及实验情况，确定在平地无牌号履带式运输车在各个档位高速及低速情况下前进、后退，其制动系、转向系、行驶系均可正常工作。(三)依据检验及实验情况，确定在坡路无牌号履带式运输车在各个档位高速及低速情况下前进、后退，其制动系、转向系、行驶系均可正常工作，排除车辆故障可能。</w:t>
      </w:r>
    </w:p>
    <w:p w14:paraId="3E8B699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eastAsia="zh-CN"/>
        </w:rPr>
      </w:pPr>
      <w:bookmarkStart w:id="19" w:name="_Toc3762"/>
      <w:r>
        <w:rPr>
          <w:rFonts w:hint="eastAsia" w:ascii="CESI楷体-GB2312" w:hAnsi="CESI楷体-GB2312" w:eastAsia="CESI楷体-GB2312" w:cs="CESI楷体-GB2312"/>
          <w:b w:val="0"/>
          <w:bCs w:val="0"/>
          <w:snapToGrid w:val="0"/>
          <w:color w:val="auto"/>
          <w:kern w:val="0"/>
          <w:sz w:val="32"/>
          <w:szCs w:val="32"/>
          <w:highlight w:val="none"/>
          <w:lang w:eastAsia="zh-CN"/>
        </w:rPr>
        <w:t>（三）其他可能因素排除</w:t>
      </w:r>
      <w:bookmarkEnd w:id="18"/>
      <w:bookmarkEnd w:id="19"/>
    </w:p>
    <w:p w14:paraId="6B01B47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通过对事故现场勘查、询问和事故现场视频资料分析，排除人为故意破坏、突发地质灾害等因素影响。</w:t>
      </w:r>
    </w:p>
    <w:p w14:paraId="799A333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20" w:name="_Toc29437"/>
      <w:r>
        <w:rPr>
          <w:rFonts w:hint="eastAsia" w:ascii="CESI楷体-GB2312" w:hAnsi="CESI楷体-GB2312" w:eastAsia="CESI楷体-GB2312" w:cs="CESI楷体-GB2312"/>
          <w:b w:val="0"/>
          <w:bCs w:val="0"/>
          <w:snapToGrid w:val="0"/>
          <w:color w:val="auto"/>
          <w:kern w:val="0"/>
          <w:sz w:val="32"/>
          <w:szCs w:val="32"/>
          <w:highlight w:val="none"/>
          <w:lang w:eastAsia="zh-CN"/>
        </w:rPr>
        <w:t>（</w:t>
      </w:r>
      <w:r>
        <w:rPr>
          <w:rFonts w:hint="eastAsia" w:ascii="CESI楷体-GB2312" w:hAnsi="CESI楷体-GB2312" w:eastAsia="CESI楷体-GB2312" w:cs="CESI楷体-GB2312"/>
          <w:b w:val="0"/>
          <w:bCs w:val="0"/>
          <w:snapToGrid w:val="0"/>
          <w:color w:val="auto"/>
          <w:kern w:val="0"/>
          <w:sz w:val="32"/>
          <w:szCs w:val="32"/>
          <w:highlight w:val="none"/>
          <w:lang w:val="en-US" w:eastAsia="zh-CN"/>
        </w:rPr>
        <w:t>四</w:t>
      </w:r>
      <w:r>
        <w:rPr>
          <w:rFonts w:hint="eastAsia" w:ascii="CESI楷体-GB2312" w:hAnsi="CESI楷体-GB2312" w:eastAsia="CESI楷体-GB2312" w:cs="CESI楷体-GB2312"/>
          <w:b w:val="0"/>
          <w:bCs w:val="0"/>
          <w:snapToGrid w:val="0"/>
          <w:color w:val="auto"/>
          <w:kern w:val="0"/>
          <w:sz w:val="32"/>
          <w:szCs w:val="32"/>
          <w:highlight w:val="none"/>
          <w:lang w:eastAsia="zh-CN"/>
        </w:rPr>
        <w:t>）间接原因</w:t>
      </w:r>
      <w:r>
        <w:rPr>
          <w:rFonts w:hint="eastAsia" w:ascii="CESI楷体-GB2312" w:hAnsi="CESI楷体-GB2312" w:eastAsia="CESI楷体-GB2312" w:cs="CESI楷体-GB2312"/>
          <w:b w:val="0"/>
          <w:bCs w:val="0"/>
          <w:snapToGrid w:val="0"/>
          <w:color w:val="auto"/>
          <w:kern w:val="0"/>
          <w:sz w:val="32"/>
          <w:szCs w:val="32"/>
          <w:highlight w:val="none"/>
          <w:lang w:val="en-US" w:eastAsia="zh-CN"/>
        </w:rPr>
        <w:t>分析</w:t>
      </w:r>
      <w:bookmarkEnd w:id="20"/>
    </w:p>
    <w:p w14:paraId="20276CB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1.呼伦贝尔市盛佳工程勘察有限责任公司不具备</w:t>
      </w:r>
      <w:r>
        <w:rPr>
          <w:rFonts w:hint="eastAsia" w:ascii="仿宋_GB2312" w:hAnsi="仿宋_GB2312" w:eastAsia="仿宋_GB2312" w:cs="仿宋_GB2312"/>
          <w:sz w:val="32"/>
          <w:szCs w:val="32"/>
          <w:highlight w:val="none"/>
          <w:lang w:val="en-US" w:eastAsia="zh-CN"/>
        </w:rPr>
        <w:t>金属非金属矿产资源地质勘察安全生产许可，违法进行作业。</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钻探班组</w:t>
      </w:r>
      <w:r>
        <w:rPr>
          <w:rFonts w:hint="eastAsia" w:ascii="仿宋_GB2312" w:hAnsi="仿宋_GB2312" w:eastAsia="仿宋_GB2312" w:cs="仿宋_GB2312"/>
          <w:snapToGrid w:val="0"/>
          <w:color w:val="auto"/>
          <w:kern w:val="0"/>
          <w:sz w:val="32"/>
          <w:szCs w:val="32"/>
          <w:highlight w:val="none"/>
          <w:lang w:val="en-US" w:eastAsia="zh-CN" w:bidi="ar-SA"/>
        </w:rPr>
        <w:t>作业施工安全管理存在漏洞，现场安全管理不到位，现场检查缺失。</w:t>
      </w:r>
    </w:p>
    <w:p w14:paraId="266568D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2.呼伦贝尔市盛佳工程勘察有限责任公司对从业人员安全教育不到位，导致从业人员安全生产责任意识淡薄，缺乏对作业危险环节和设备设施的风险辨识，反映出</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项目部</w:t>
      </w:r>
      <w:r>
        <w:rPr>
          <w:rFonts w:hint="eastAsia" w:ascii="仿宋_GB2312" w:hAnsi="仿宋_GB2312" w:eastAsia="仿宋_GB2312" w:cs="仿宋_GB2312"/>
          <w:snapToGrid w:val="0"/>
          <w:color w:val="auto"/>
          <w:kern w:val="0"/>
          <w:sz w:val="32"/>
          <w:szCs w:val="32"/>
          <w:highlight w:val="none"/>
          <w:lang w:val="en-US" w:eastAsia="zh-CN" w:bidi="ar-SA"/>
        </w:rPr>
        <w:t>安全教育培训未做深做实。</w:t>
      </w:r>
    </w:p>
    <w:p w14:paraId="13AAAFF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snapToGrid w:val="0"/>
          <w:color w:val="auto"/>
          <w:kern w:val="0"/>
          <w:sz w:val="32"/>
          <w:szCs w:val="32"/>
          <w:highlight w:val="none"/>
          <w:lang w:val="en-US" w:eastAsia="zh-CN" w:bidi="ar-SA"/>
        </w:rPr>
        <w:t>3.呼伦贝尔市盛佳工程勘察有限责任公司安全管理存在严重缺陷，落实安全生产主体责任不到位，未对设备设施存在的风险进行辨识，未及时排除安全隐患，未发现员工习惯性违章</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作业，未采取必要的防范措施。</w:t>
      </w:r>
    </w:p>
    <w:p w14:paraId="2E45052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000000" w:themeColor="text1"/>
          <w:kern w:val="0"/>
          <w:sz w:val="32"/>
          <w:szCs w:val="32"/>
          <w:highlight w:val="none"/>
          <w:u w:val="none"/>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4.内蒙古第六地质矿产勘查开发有限责任公司主体责任落实不深不细，</w:t>
      </w:r>
      <w:r>
        <w:rPr>
          <w:rFonts w:hint="eastAsia" w:ascii="仿宋_GB2312" w:hAnsi="仿宋_GB2312" w:eastAsia="仿宋_GB2312" w:cs="仿宋_GB2312"/>
          <w:snapToGrid w:val="0"/>
          <w:color w:val="000000" w:themeColor="text1"/>
          <w:kern w:val="0"/>
          <w:sz w:val="32"/>
          <w:szCs w:val="32"/>
          <w:highlight w:val="none"/>
          <w:u w:val="none"/>
          <w:lang w:val="en-US" w:eastAsia="zh-CN" w:bidi="ar-SA"/>
          <w14:textFill>
            <w14:solidFill>
              <w14:schemeClr w14:val="tx1"/>
            </w14:solidFill>
          </w14:textFill>
        </w:rPr>
        <w:t>开展安全培训和隐患排查不到位，未发现设备设施存在安全隐患，未发现违反操作规程作业行为。</w:t>
      </w:r>
    </w:p>
    <w:p w14:paraId="75B265B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仿宋_GB2312" w:eastAsia="仿宋_GB2312"/>
          <w:b/>
          <w:bCs/>
          <w:snapToGrid w:val="0"/>
          <w:color w:val="auto"/>
          <w:kern w:val="0"/>
          <w:sz w:val="32"/>
          <w:szCs w:val="32"/>
          <w:highlight w:val="none"/>
        </w:rPr>
      </w:pPr>
      <w:bookmarkStart w:id="21" w:name="_Toc30474"/>
      <w:r>
        <w:rPr>
          <w:rFonts w:hint="eastAsia" w:ascii="黑体" w:hAnsi="黑体" w:eastAsia="黑体" w:cs="黑体"/>
          <w:snapToGrid w:val="0"/>
          <w:kern w:val="0"/>
          <w:sz w:val="32"/>
          <w:szCs w:val="32"/>
          <w:highlight w:val="none"/>
          <w:lang w:val="en-US" w:eastAsia="zh-CN"/>
        </w:rPr>
        <w:t>五、有关责任单位存在的主要问题</w:t>
      </w:r>
      <w:bookmarkEnd w:id="21"/>
      <w:r>
        <w:rPr>
          <w:rFonts w:hint="eastAsia" w:ascii="仿宋_GB2312" w:eastAsia="仿宋_GB2312"/>
          <w:b/>
          <w:bCs/>
          <w:snapToGrid w:val="0"/>
          <w:color w:val="auto"/>
          <w:kern w:val="0"/>
          <w:sz w:val="32"/>
          <w:szCs w:val="32"/>
          <w:highlight w:val="none"/>
        </w:rPr>
        <w:t xml:space="preserve"> </w:t>
      </w:r>
    </w:p>
    <w:p w14:paraId="57F0624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eastAsia="zh-CN"/>
        </w:rPr>
      </w:pPr>
      <w:bookmarkStart w:id="22" w:name="_Toc18825"/>
      <w:r>
        <w:rPr>
          <w:rFonts w:hint="eastAsia" w:ascii="CESI楷体-GB2312" w:hAnsi="CESI楷体-GB2312" w:eastAsia="CESI楷体-GB2312" w:cs="CESI楷体-GB2312"/>
          <w:b w:val="0"/>
          <w:bCs w:val="0"/>
          <w:snapToGrid w:val="0"/>
          <w:color w:val="auto"/>
          <w:kern w:val="0"/>
          <w:sz w:val="32"/>
          <w:szCs w:val="32"/>
          <w:highlight w:val="none"/>
          <w:lang w:val="en-US" w:eastAsia="zh-CN"/>
        </w:rPr>
        <w:t>（一）呼伦贝尔市盛佳工程勘察有限责任公司</w:t>
      </w:r>
      <w:bookmarkEnd w:id="22"/>
    </w:p>
    <w:p w14:paraId="50B02DD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管理制度不健全，作业现场安全管理存在漏洞，未发现人员违反操作规程作业行为；设备设施安全管理不到位，安全教育不到位，导致从业人员安全生产责任意识淡薄，未能熟练掌握安全技能，致使从业人员对存在的风险认识不足；对作业现场安全检查流于形式，不能有效的排除安全生产隐患；</w:t>
      </w:r>
      <w:r>
        <w:rPr>
          <w:rFonts w:hint="eastAsia" w:ascii="仿宋_GB2312" w:hAnsi="仿宋_GB2312" w:eastAsia="仿宋_GB2312" w:cs="仿宋_GB2312"/>
          <w:sz w:val="32"/>
          <w:szCs w:val="32"/>
          <w:highlight w:val="none"/>
          <w:lang w:val="en-US" w:eastAsia="zh-CN"/>
        </w:rPr>
        <w:t>未取得金属非金属矿产资源地质勘察安全生产许可的情况下开展钻探业务</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w:t>
      </w:r>
    </w:p>
    <w:p w14:paraId="096A99B9">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23" w:name="_Toc8646"/>
      <w:r>
        <w:rPr>
          <w:rFonts w:hint="eastAsia" w:ascii="CESI楷体-GB2312" w:hAnsi="CESI楷体-GB2312" w:eastAsia="CESI楷体-GB2312" w:cs="CESI楷体-GB2312"/>
          <w:b w:val="0"/>
          <w:bCs w:val="0"/>
          <w:snapToGrid w:val="0"/>
          <w:color w:val="auto"/>
          <w:kern w:val="0"/>
          <w:sz w:val="32"/>
          <w:szCs w:val="32"/>
          <w:highlight w:val="none"/>
          <w:lang w:val="en-US" w:eastAsia="zh-CN"/>
        </w:rPr>
        <w:t>（二）内蒙古第六地质矿产勘查开发有限责任公司</w:t>
      </w:r>
      <w:bookmarkEnd w:id="23"/>
    </w:p>
    <w:p w14:paraId="14FA50F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对项目部安全生产主体责任落实不到位，作业现场风险辨识和管控未有效落实，隐患排查整治不到位，设备设施管理缺失，未发现经常性违章作业行为，</w:t>
      </w:r>
      <w:r>
        <w:rPr>
          <w:rFonts w:hint="eastAsia" w:ascii="仿宋_GB2312" w:hAnsi="仿宋_GB2312" w:eastAsia="仿宋_GB2312" w:cs="仿宋_GB2312"/>
          <w:snapToGrid w:val="0"/>
          <w:color w:val="auto"/>
          <w:kern w:val="0"/>
          <w:sz w:val="32"/>
          <w:szCs w:val="32"/>
          <w:highlight w:val="none"/>
          <w:lang w:val="en-US" w:eastAsia="zh-CN" w:bidi="ar-SA"/>
        </w:rPr>
        <w:t>对下级单位安全生产管理不到位，</w:t>
      </w:r>
      <w:r>
        <w:rPr>
          <w:rFonts w:hint="eastAsia" w:ascii="仿宋_GB2312" w:hAnsi="仿宋_GB2312" w:eastAsia="仿宋_GB2312" w:cs="仿宋_GB2312"/>
          <w:i w:val="0"/>
          <w:iCs w:val="0"/>
          <w:snapToGrid w:val="0"/>
          <w:color w:val="auto"/>
          <w:kern w:val="0"/>
          <w:sz w:val="32"/>
          <w:szCs w:val="32"/>
          <w:highlight w:val="none"/>
          <w:lang w:val="en-US" w:eastAsia="zh-CN" w:bidi="ar-SA"/>
        </w:rPr>
        <w:t>未能督促下级单位安全生产教育和培训计划的有效实施</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w:t>
      </w:r>
    </w:p>
    <w:p w14:paraId="5D77395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24" w:name="_Toc9937"/>
      <w:r>
        <w:rPr>
          <w:rFonts w:hint="eastAsia" w:ascii="CESI楷体-GB2312" w:hAnsi="CESI楷体-GB2312" w:eastAsia="CESI楷体-GB2312" w:cs="CESI楷体-GB2312"/>
          <w:b w:val="0"/>
          <w:bCs w:val="0"/>
          <w:snapToGrid w:val="0"/>
          <w:color w:val="auto"/>
          <w:kern w:val="0"/>
          <w:sz w:val="32"/>
          <w:szCs w:val="32"/>
          <w:highlight w:val="none"/>
          <w:lang w:val="en-US" w:eastAsia="zh-CN"/>
        </w:rPr>
        <w:t>（三）根河市自然资源局</w:t>
      </w:r>
      <w:bookmarkEnd w:id="24"/>
    </w:p>
    <w:p w14:paraId="4DD7F5F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自然资源局为行业管理部门，虽对地质勘查行业开展安全生产工作检查，但未发现野外作业人员违规操作等问题，管理存在不足，落实行业管理部门“三管三必须”责任不到位。</w:t>
      </w:r>
    </w:p>
    <w:p w14:paraId="06C64B2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25" w:name="_Toc14238"/>
      <w:r>
        <w:rPr>
          <w:rFonts w:hint="eastAsia" w:ascii="CESI楷体-GB2312" w:hAnsi="CESI楷体-GB2312" w:eastAsia="CESI楷体-GB2312" w:cs="CESI楷体-GB2312"/>
          <w:b w:val="0"/>
          <w:bCs w:val="0"/>
          <w:snapToGrid w:val="0"/>
          <w:color w:val="auto"/>
          <w:kern w:val="0"/>
          <w:sz w:val="32"/>
          <w:szCs w:val="32"/>
          <w:highlight w:val="none"/>
          <w:lang w:val="en-US" w:eastAsia="zh-CN"/>
        </w:rPr>
        <w:t>（四）满归镇人民政府</w:t>
      </w:r>
      <w:bookmarkEnd w:id="25"/>
    </w:p>
    <w:p w14:paraId="3756738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满归镇人民政府为属地监管部门</w:t>
      </w:r>
      <w:r>
        <w:rPr>
          <w:rFonts w:hint="default" w:ascii="仿宋_GB2312" w:hAnsi="仿宋_GB2312" w:eastAsia="仿宋_GB2312" w:cs="仿宋_GB2312"/>
          <w:snapToGrid w:val="0"/>
          <w:color w:val="auto"/>
          <w:kern w:val="0"/>
          <w:sz w:val="32"/>
          <w:szCs w:val="32"/>
          <w:highlight w:val="none"/>
          <w:lang w:val="en-US" w:eastAsia="zh-CN" w:bidi="ar-SA"/>
        </w:rPr>
        <w:t>，</w:t>
      </w:r>
      <w:r>
        <w:rPr>
          <w:rFonts w:hint="eastAsia" w:ascii="仿宋_GB2312" w:hAnsi="仿宋_GB2312" w:eastAsia="仿宋_GB2312" w:cs="仿宋_GB2312"/>
          <w:snapToGrid w:val="0"/>
          <w:color w:val="auto"/>
          <w:kern w:val="0"/>
          <w:sz w:val="32"/>
          <w:szCs w:val="32"/>
          <w:highlight w:val="none"/>
          <w:lang w:val="en-US" w:eastAsia="zh-CN" w:bidi="ar-SA"/>
        </w:rPr>
        <w:t>负有属地监管职责，存在与行业主管部门的信息沟通不畅，未发现该作业单位存在的隐患，对辖区内的安全生产宣传存在盲区，临时性项目施工风险警示针对性不强。</w:t>
      </w:r>
    </w:p>
    <w:p w14:paraId="5C9B1D3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26" w:name="_Toc2523"/>
      <w:r>
        <w:rPr>
          <w:rFonts w:hint="eastAsia" w:ascii="CESI楷体-GB2312" w:hAnsi="CESI楷体-GB2312" w:eastAsia="CESI楷体-GB2312" w:cs="CESI楷体-GB2312"/>
          <w:b w:val="0"/>
          <w:bCs w:val="0"/>
          <w:snapToGrid w:val="0"/>
          <w:color w:val="auto"/>
          <w:kern w:val="0"/>
          <w:sz w:val="32"/>
          <w:szCs w:val="32"/>
          <w:highlight w:val="none"/>
          <w:lang w:val="en-US" w:eastAsia="zh-CN"/>
        </w:rPr>
        <w:t>（五）</w:t>
      </w:r>
      <w:bookmarkEnd w:id="26"/>
      <w:r>
        <w:rPr>
          <w:rFonts w:hint="eastAsia" w:ascii="CESI楷体-GB2312" w:hAnsi="CESI楷体-GB2312" w:eastAsia="CESI楷体-GB2312" w:cs="CESI楷体-GB2312"/>
          <w:b w:val="0"/>
          <w:bCs w:val="0"/>
          <w:snapToGrid w:val="0"/>
          <w:color w:val="auto"/>
          <w:kern w:val="0"/>
          <w:sz w:val="32"/>
          <w:szCs w:val="32"/>
          <w:highlight w:val="none"/>
          <w:lang w:val="en-US" w:eastAsia="zh-CN"/>
        </w:rPr>
        <w:t>根河市矿山安全监管局</w:t>
      </w:r>
    </w:p>
    <w:p w14:paraId="47DBA95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矿山安全监管局为行业监管部门，</w:t>
      </w:r>
      <w:r>
        <w:rPr>
          <w:rFonts w:hint="default" w:ascii="仿宋_GB2312" w:hAnsi="仿宋_GB2312" w:eastAsia="仿宋_GB2312" w:cs="仿宋_GB2312"/>
          <w:snapToGrid w:val="0"/>
          <w:color w:val="auto"/>
          <w:kern w:val="0"/>
          <w:sz w:val="32"/>
          <w:szCs w:val="32"/>
          <w:highlight w:val="none"/>
          <w:lang w:val="en-US" w:eastAsia="zh-CN" w:bidi="ar-SA"/>
        </w:rPr>
        <w:t>沟通协调机制不畅，与自然资源、属地政府沟通协调不到位，对全市矿山地质勘探情况掌握不全面。贯彻执行安全生产相关法律法规制度不够彻底，未严格督促地质勘查单位履行备案程序，对矿山地质勘查安全监管不全面。</w:t>
      </w:r>
    </w:p>
    <w:p w14:paraId="70861BF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27" w:name="_Toc6116"/>
      <w:r>
        <w:rPr>
          <w:rFonts w:hint="eastAsia" w:ascii="黑体" w:hAnsi="黑体" w:eastAsia="黑体" w:cs="黑体"/>
          <w:snapToGrid w:val="0"/>
          <w:kern w:val="0"/>
          <w:sz w:val="32"/>
          <w:szCs w:val="32"/>
          <w:highlight w:val="none"/>
          <w:lang w:val="en-US" w:eastAsia="zh-CN"/>
        </w:rPr>
        <w:t>六、对有关责任人员和责任单位的处理建议</w:t>
      </w:r>
      <w:bookmarkEnd w:id="27"/>
      <w:r>
        <w:rPr>
          <w:rFonts w:hint="eastAsia" w:ascii="黑体" w:hAnsi="黑体" w:eastAsia="黑体" w:cs="黑体"/>
          <w:snapToGrid w:val="0"/>
          <w:kern w:val="0"/>
          <w:sz w:val="32"/>
          <w:szCs w:val="32"/>
          <w:highlight w:val="none"/>
          <w:lang w:val="en-US" w:eastAsia="zh-CN"/>
        </w:rPr>
        <w:t xml:space="preserve"> </w:t>
      </w:r>
    </w:p>
    <w:p w14:paraId="1A12E12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28" w:name="_Toc26486"/>
      <w:r>
        <w:rPr>
          <w:rFonts w:hint="eastAsia" w:ascii="CESI楷体-GB2312" w:hAnsi="CESI楷体-GB2312" w:eastAsia="CESI楷体-GB2312" w:cs="CESI楷体-GB2312"/>
          <w:b w:val="0"/>
          <w:bCs w:val="0"/>
          <w:snapToGrid w:val="0"/>
          <w:color w:val="auto"/>
          <w:kern w:val="0"/>
          <w:sz w:val="32"/>
          <w:szCs w:val="32"/>
          <w:highlight w:val="none"/>
          <w:lang w:val="en-US" w:eastAsia="zh-CN"/>
        </w:rPr>
        <w:t>（一）有关责任人员处理建议</w:t>
      </w:r>
      <w:bookmarkEnd w:id="28"/>
    </w:p>
    <w:p w14:paraId="223F13F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1.张XX、男、37岁、呼伦贝尔市盛佳工程勘察有限责任公司钻探班长，缺乏安全意识，在履带运输车发生滑移后，违规跳车进行停车作业，鉴于其已在事故中死亡，免予追究相关责任。</w:t>
      </w:r>
    </w:p>
    <w:p w14:paraId="138DF3A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b/>
          <w:bCs/>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王XX、男、44岁、呼伦贝尔市盛佳工程勘察有限责任公司钻探机长，负责钻探现场的安全生产工作，未能有效履行机长的安全管理职责，对人员习惯性违章作业未能及时制止，对此次事故负有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25％的罚款。</w:t>
      </w:r>
    </w:p>
    <w:p w14:paraId="6D3E474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b/>
          <w:bCs/>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娄X、男、38岁、内蒙古第六地质矿产勘查开发有限责任公司内蒙古自治区根河市满归面包山多金属矿勘探项目现场负责人，落实隐患排查不到位，未发现安全隐患，落实安全培训不到位，对此次事故负有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20％的罚款。</w:t>
      </w:r>
    </w:p>
    <w:p w14:paraId="3EE1B28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林XX、男、41岁、内蒙古第六地质矿产勘查开发有限责任公司内蒙古自治区根河市满归面包山多金属矿勘探项目负责人，组织隐患排查不到位，未发现安全隐患，组织安全培训不到位，对此次事故负有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25％的罚款。</w:t>
      </w:r>
    </w:p>
    <w:p w14:paraId="5FF2ADA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任XX、男、41岁、呼伦贝尔市盛佳工程勘察有限责任公司董事（内蒙古第六地质矿产勘查开发有限责任公司党委委员、副总经理）安全管理不到位，未严格审批购买设施设备，未有效组织安全教育培训工作，未有效组织安全生产检查和隐患排查治理，对此次事故负有领导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20％的罚款。</w:t>
      </w:r>
    </w:p>
    <w:p w14:paraId="63DFD3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吕XX、男、54岁、呼伦贝尔市盛佳工程勘察有限责任公司总经理，未能履行安全生产第一责任人的职责，未能有效排除安全生产管理中的隐患，对此次事故负有主要领导责任。依据《中华人民共和国安全生产法》依据第九十五条第一项规定：“生产经营单位的主要负责人未履行本法规定的安全生产管理职责，导致发生生产安全事故的，由应急管理部门依照下列规定处以罚款:（一）发生一般事故的，处上一年年收入百分之40％的罚款”。建议由根河市应急管理局依法对其进行处罚，处以上一年年收入40％的罚款。</w:t>
      </w:r>
    </w:p>
    <w:p w14:paraId="26EA3AEA">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7.唐XX、男、56岁、内蒙古第六地质矿产勘查开发有限责任公司安全环境工程部部长，组织安全管理人员巡查不到位，现场隐患排查治理不到位，对此次事故负有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25％的罚款。</w:t>
      </w:r>
    </w:p>
    <w:p w14:paraId="14EE3C7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8.刘XX、男、57岁、内蒙古第六地质矿产勘查开发有限责任公司副总经理，未能对现场安全生产工作、设备设施有效监管，对此次事故负有责任。依据《生产安全事故罚款处罚规定》第二十条规定“事故发生单位其他负责人和安全生产管理人员未依法履行安全生产管理职责，导致事故发生的，依照下列规定处以罚款：（一）发生一般事故的，处上一年年收入20％至30％的罚款”。建议由根河市应急管理局依法对其进行处罚，处上一年收入30％的罚款。</w:t>
      </w:r>
    </w:p>
    <w:p w14:paraId="1231291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9.孙XX、男、59岁、内蒙古第六地质矿产勘查开发有限责任公司董事长，对内蒙古自治区根河市满归面包山多金属矿勘探项目安全管理不到位，未有效组织安全教育培训工作，未有效组织安全生产检查和隐患排查治理，对此次事故负有主要领导责任。依据《中华人民共和国安全生产法》依据第九十五条第一项规定：“生产经营单位的主要负责人未履行本法规定的安全生产管理职责，导致发生生产安全事故的，由应急管理部门依照下列规定处以罚款:（一）发生一般事故的，处上一年年收入百分之40％的罚款”。建议由根河市应急管理局依法对其进行处罚，处以上一年年收入40％的罚款。</w:t>
      </w:r>
    </w:p>
    <w:p w14:paraId="642099E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29" w:name="_Toc13293"/>
      <w:r>
        <w:rPr>
          <w:rFonts w:hint="eastAsia" w:ascii="CESI楷体-GB2312" w:hAnsi="CESI楷体-GB2312" w:eastAsia="CESI楷体-GB2312" w:cs="CESI楷体-GB2312"/>
          <w:b w:val="0"/>
          <w:bCs w:val="0"/>
          <w:snapToGrid w:val="0"/>
          <w:color w:val="auto"/>
          <w:kern w:val="0"/>
          <w:sz w:val="32"/>
          <w:szCs w:val="32"/>
          <w:highlight w:val="none"/>
          <w:lang w:val="en-US" w:eastAsia="zh-CN"/>
        </w:rPr>
        <w:t>（二）有关责任单位的处理建议</w:t>
      </w:r>
      <w:bookmarkEnd w:id="29"/>
    </w:p>
    <w:p w14:paraId="598618B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snapToGrid w:val="0"/>
          <w:color w:val="auto"/>
          <w:kern w:val="0"/>
          <w:sz w:val="32"/>
          <w:szCs w:val="32"/>
          <w:highlight w:val="none"/>
          <w:lang w:val="en-US" w:eastAsia="zh-CN" w:bidi="ar-SA"/>
        </w:rPr>
        <w:t>10.呼伦贝尔市盛佳工程勘察有限责任公司</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管理制度不健全，作业现场安全管理存在漏洞，未发现人员违反操作规程作业行为；设备设施安全管理不到位，安全教育不到位，导致从业人员安全生产责任意识淡薄，未能熟练掌握安全技能，致使从业人员对存在的风险认识不足</w:t>
      </w:r>
      <w:r>
        <w:rPr>
          <w:rFonts w:hint="eastAsia" w:ascii="仿宋_GB2312" w:hAnsi="仿宋_GB2312" w:eastAsia="仿宋_GB2312" w:cs="仿宋_GB2312"/>
          <w:snapToGrid w:val="0"/>
          <w:color w:val="auto"/>
          <w:kern w:val="0"/>
          <w:sz w:val="32"/>
          <w:szCs w:val="32"/>
          <w:highlight w:val="none"/>
          <w:lang w:val="en-US" w:eastAsia="zh-CN" w:bidi="ar-SA"/>
        </w:rPr>
        <w:t>，对该起事故的发生负有主要责任，依据《生产安全事故罚款处罚规定》第十四条</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事故发生单位对一般事故负有责任的，依照下列规定处以罚款：（二）造成1人死亡，或者3人以上6人以下重伤，或者300万元以上500万元以下直接经济损失的，处50万元以上70万元以下的罚款”。建议由根河市应急管理局依法对其进行处罚，处以69万元的罚款。</w:t>
      </w:r>
    </w:p>
    <w:p w14:paraId="1522C57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snapToGrid w:val="0"/>
          <w:color w:val="auto"/>
          <w:kern w:val="0"/>
          <w:sz w:val="32"/>
          <w:szCs w:val="32"/>
          <w:highlight w:val="none"/>
          <w:lang w:val="en-US" w:eastAsia="zh-CN" w:bidi="ar-SA"/>
        </w:rPr>
        <w:t>呼伦贝尔市盛佳工程勘察有限责任公司不具备</w:t>
      </w:r>
      <w:r>
        <w:rPr>
          <w:rFonts w:hint="eastAsia" w:ascii="仿宋_GB2312" w:hAnsi="仿宋_GB2312" w:eastAsia="仿宋_GB2312" w:cs="仿宋_GB2312"/>
          <w:sz w:val="32"/>
          <w:szCs w:val="32"/>
          <w:highlight w:val="none"/>
          <w:lang w:val="en-US" w:eastAsia="zh-CN"/>
        </w:rPr>
        <w:t>金属非金属矿产资源地质勘察安全生产许可，违法进行作业</w:t>
      </w:r>
      <w:r>
        <w:rPr>
          <w:rFonts w:hint="eastAsia" w:ascii="仿宋_GB2312" w:hAnsi="仿宋_GB2312" w:eastAsia="仿宋_GB2312" w:cs="仿宋_GB2312"/>
          <w:snapToGrid w:val="0"/>
          <w:color w:val="auto"/>
          <w:kern w:val="0"/>
          <w:sz w:val="32"/>
          <w:szCs w:val="32"/>
          <w:highlight w:val="none"/>
          <w:lang w:val="en-US" w:eastAsia="zh-CN" w:bidi="ar-SA"/>
        </w:rPr>
        <w:t>，依据《</w:t>
      </w:r>
      <w:r>
        <w:rPr>
          <w:rFonts w:hint="default" w:ascii="仿宋_GB2312" w:hAnsi="仿宋_GB2312" w:eastAsia="仿宋_GB2312" w:cs="仿宋_GB2312"/>
          <w:snapToGrid w:val="0"/>
          <w:color w:val="auto"/>
          <w:kern w:val="0"/>
          <w:sz w:val="32"/>
          <w:szCs w:val="32"/>
          <w:highlight w:val="none"/>
          <w:lang w:val="en-US" w:eastAsia="zh-CN" w:bidi="ar-SA"/>
        </w:rPr>
        <w:fldChar w:fldCharType="begin"/>
      </w:r>
      <w:r>
        <w:rPr>
          <w:rFonts w:hint="default" w:ascii="仿宋_GB2312" w:hAnsi="仿宋_GB2312" w:eastAsia="仿宋_GB2312" w:cs="仿宋_GB2312"/>
          <w:snapToGrid w:val="0"/>
          <w:color w:val="auto"/>
          <w:kern w:val="0"/>
          <w:sz w:val="32"/>
          <w:szCs w:val="32"/>
          <w:highlight w:val="none"/>
          <w:lang w:val="en-US" w:eastAsia="zh-CN" w:bidi="ar-SA"/>
        </w:rPr>
        <w:instrText xml:space="preserve"> HYPERLINK "https://baike.baidu.com/item/%E9%87%91%E5%B1%9E%E4%B8%8E%E9%9D%9E%E9%87%91%E5%B1%9E%E7%9F%BF%E4%BA%A7%E8%B5%84%E6%BA%90%E5%9C%B0%E8%B4%A8%E5%8B%98%E6%8E%A2%E5%AE%89%E5%85%A8%E7%94%9F%E4%BA%A7%E7%9B%91%E7%9D%A3%E7%AE%A1%E7%90%86%E6%9A%82%E8%A1%8C%E8%A7%84%E5%AE%9A/0?fromModule=lemma_inlink" \t "https://baike.baidu.com/item/%E9%87%91%E5%B1%9E%E4%B8%8E%E9%9D%9E%E9%87%91%E5%B1%9E%E7%9F%BF%E4%BA%A7%E8%B5%84%E6%BA%90%E5%9C%B0%E8%B4%A8%E5%8B%98%E6%8E%A2%E5%AE%89%E5%85%A8%E7%94%9F%E4%BA%A7%E7%9B%91%E7%9D%A3%E7%AE%A1%E7%90%86%E6%9A%82%E8%A1%8C%E8%A7%84%E5%AE%9A/_blank" </w:instrText>
      </w:r>
      <w:r>
        <w:rPr>
          <w:rFonts w:hint="default" w:ascii="仿宋_GB2312" w:hAnsi="仿宋_GB2312" w:eastAsia="仿宋_GB2312" w:cs="仿宋_GB2312"/>
          <w:snapToGrid w:val="0"/>
          <w:color w:val="auto"/>
          <w:kern w:val="0"/>
          <w:sz w:val="32"/>
          <w:szCs w:val="32"/>
          <w:highlight w:val="none"/>
          <w:lang w:val="en-US" w:eastAsia="zh-CN" w:bidi="ar-SA"/>
        </w:rPr>
        <w:fldChar w:fldCharType="separate"/>
      </w:r>
      <w:r>
        <w:rPr>
          <w:rFonts w:hint="default" w:ascii="仿宋_GB2312" w:hAnsi="仿宋_GB2312" w:eastAsia="仿宋_GB2312" w:cs="仿宋_GB2312"/>
          <w:snapToGrid w:val="0"/>
          <w:color w:val="auto"/>
          <w:kern w:val="0"/>
          <w:sz w:val="32"/>
          <w:szCs w:val="32"/>
          <w:highlight w:val="none"/>
          <w:lang w:val="en-US" w:eastAsia="zh-CN" w:bidi="ar-SA"/>
        </w:rPr>
        <w:t>金属与非金属矿产资源地质勘探安全生产监督管理暂行规定</w:t>
      </w:r>
      <w:r>
        <w:rPr>
          <w:rFonts w:hint="default" w:ascii="仿宋_GB2312" w:hAnsi="仿宋_GB2312" w:eastAsia="仿宋_GB2312" w:cs="仿宋_GB2312"/>
          <w:snapToGrid w:val="0"/>
          <w:color w:val="auto"/>
          <w:kern w:val="0"/>
          <w:sz w:val="32"/>
          <w:szCs w:val="32"/>
          <w:highlight w:val="none"/>
          <w:lang w:val="en-US" w:eastAsia="zh-CN" w:bidi="ar-SA"/>
        </w:rPr>
        <w:fldChar w:fldCharType="end"/>
      </w:r>
      <w:r>
        <w:rPr>
          <w:rFonts w:hint="default" w:ascii="仿宋_GB2312" w:hAnsi="仿宋_GB2312" w:eastAsia="仿宋_GB2312" w:cs="仿宋_GB2312"/>
          <w:snapToGrid w:val="0"/>
          <w:color w:val="auto"/>
          <w:kern w:val="0"/>
          <w:sz w:val="32"/>
          <w:szCs w:val="32"/>
          <w:highlight w:val="none"/>
          <w:lang w:val="en-US" w:eastAsia="zh-CN" w:bidi="ar-SA"/>
        </w:rPr>
        <w:t>》</w:t>
      </w:r>
      <w:r>
        <w:rPr>
          <w:rFonts w:hint="eastAsia" w:ascii="仿宋_GB2312" w:hAnsi="仿宋_GB2312" w:eastAsia="仿宋_GB2312" w:cs="仿宋_GB2312"/>
          <w:snapToGrid w:val="0"/>
          <w:color w:val="auto"/>
          <w:kern w:val="0"/>
          <w:sz w:val="32"/>
          <w:szCs w:val="32"/>
          <w:highlight w:val="none"/>
          <w:lang w:val="en-US" w:eastAsia="zh-CN" w:bidi="ar-SA"/>
        </w:rPr>
        <w:t>第七条，从事钻探工程、坑探工程施工的地质勘探单位应当取得</w:t>
      </w:r>
      <w:r>
        <w:rPr>
          <w:rFonts w:hint="default" w:ascii="仿宋_GB2312" w:hAnsi="仿宋_GB2312" w:eastAsia="仿宋_GB2312" w:cs="仿宋_GB2312"/>
          <w:snapToGrid w:val="0"/>
          <w:color w:val="auto"/>
          <w:kern w:val="0"/>
          <w:sz w:val="32"/>
          <w:szCs w:val="32"/>
          <w:highlight w:val="none"/>
          <w:lang w:val="en-US" w:eastAsia="zh-CN" w:bidi="ar-SA"/>
        </w:rPr>
        <w:t>安全生产许可证。</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依据《安全生产许可证条例》第十九条 违反本条例规定，未取得</w:t>
      </w:r>
      <w:r>
        <w:rPr>
          <w:rFonts w:hint="eastAsia" w:ascii="仿宋_GB2312" w:hAnsi="仿宋_GB2312" w:eastAsia="仿宋_GB2312" w:cs="仿宋_GB2312"/>
          <w:snapToGrid w:val="0"/>
          <w:color w:val="auto"/>
          <w:kern w:val="0"/>
          <w:sz w:val="32"/>
          <w:szCs w:val="32"/>
          <w:highlight w:val="none"/>
          <w:lang w:val="en-US" w:eastAsia="zh-CN" w:bidi="ar-SA"/>
        </w:rPr>
        <w:t>安全生产许可证擅自进行生产的，责令停止生产，没收违法所得，并处10万元以上50万元以下的罚款；造成重大事故或者其他严重后果，构成犯罪的，依法追究刑事责任。建议由根河市应急管理局依法对其进行处罚，</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处以10万元的罚款。</w:t>
      </w:r>
    </w:p>
    <w:p w14:paraId="2F21384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基于以上事实依据建议合并处罚，处以79万元的罚款。</w:t>
      </w:r>
    </w:p>
    <w:p w14:paraId="1E4C98B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11.内蒙古第六地质矿产勘查开发有限责任公司，</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安全生产主体责任落实不到位</w:t>
      </w:r>
      <w:r>
        <w:rPr>
          <w:rFonts w:hint="eastAsia" w:ascii="仿宋_GB2312" w:hAnsi="仿宋_GB2312" w:eastAsia="仿宋_GB2312" w:cs="仿宋_GB2312"/>
          <w:snapToGrid w:val="0"/>
          <w:color w:val="auto"/>
          <w:kern w:val="0"/>
          <w:sz w:val="32"/>
          <w:szCs w:val="32"/>
          <w:highlight w:val="none"/>
          <w:lang w:val="en-US" w:eastAsia="zh-CN" w:bidi="ar-SA"/>
        </w:rPr>
        <w:t>，</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隐患排查整治不到位，</w:t>
      </w:r>
      <w:r>
        <w:rPr>
          <w:rFonts w:hint="eastAsia" w:ascii="仿宋_GB2312" w:hAnsi="仿宋_GB2312" w:eastAsia="仿宋_GB2312" w:cs="仿宋_GB2312"/>
          <w:snapToGrid w:val="0"/>
          <w:color w:val="auto"/>
          <w:kern w:val="0"/>
          <w:sz w:val="32"/>
          <w:szCs w:val="32"/>
          <w:highlight w:val="none"/>
          <w:lang w:val="en-US" w:eastAsia="zh-CN" w:bidi="ar-SA"/>
        </w:rPr>
        <w:t>对下级单位安全生产管理不到位，未发现经常性违章作业行为，</w:t>
      </w:r>
      <w:r>
        <w:rPr>
          <w:rFonts w:hint="eastAsia" w:ascii="仿宋_GB2312" w:hAnsi="仿宋_GB2312" w:eastAsia="仿宋_GB2312" w:cs="仿宋_GB2312"/>
          <w:i w:val="0"/>
          <w:iCs w:val="0"/>
          <w:snapToGrid w:val="0"/>
          <w:color w:val="auto"/>
          <w:kern w:val="0"/>
          <w:sz w:val="32"/>
          <w:szCs w:val="32"/>
          <w:highlight w:val="none"/>
          <w:lang w:val="en-US" w:eastAsia="zh-CN" w:bidi="ar-SA"/>
        </w:rPr>
        <w:t>未能督促下级单位安全生产教育和培训计划的有效实施，</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对该起事故的发生负有管理责任，</w:t>
      </w:r>
      <w:r>
        <w:rPr>
          <w:rFonts w:hint="eastAsia" w:ascii="仿宋_GB2312" w:hAnsi="仿宋_GB2312" w:eastAsia="仿宋_GB2312" w:cs="仿宋_GB2312"/>
          <w:snapToGrid w:val="0"/>
          <w:color w:val="auto"/>
          <w:kern w:val="0"/>
          <w:sz w:val="32"/>
          <w:szCs w:val="32"/>
          <w:highlight w:val="none"/>
          <w:lang w:val="en-US" w:eastAsia="zh-CN" w:bidi="ar-SA"/>
        </w:rPr>
        <w:t>依据《生产安全事故罚款处罚规定》第十四条</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“事故发生单位对一般事故负有责任的，依照下列规定处以罚款：（二）造成1人死亡，或者3人以上6人以下重伤，或者300万元以上500万元以下直接经济损失的，处50万元以上70万元以下的罚款”。</w:t>
      </w:r>
      <w:r>
        <w:rPr>
          <w:rFonts w:hint="eastAsia" w:ascii="仿宋_GB2312" w:hAnsi="仿宋_GB2312" w:eastAsia="仿宋_GB2312" w:cs="仿宋_GB2312"/>
          <w:snapToGrid w:val="0"/>
          <w:color w:val="auto"/>
          <w:kern w:val="0"/>
          <w:sz w:val="32"/>
          <w:szCs w:val="32"/>
          <w:highlight w:val="none"/>
          <w:lang w:val="en-US" w:eastAsia="zh-CN" w:bidi="ar-SA"/>
        </w:rPr>
        <w:t>建议由根河市应急管理局依法对其进行处罚，处</w:t>
      </w:r>
      <w:r>
        <w:rPr>
          <w:rFonts w:hint="eastAsia" w:ascii="仿宋_GB2312" w:hAnsi="仿宋_GB2312" w:eastAsia="仿宋_GB2312" w:cs="仿宋_GB2312"/>
          <w:snapToGrid w:val="0"/>
          <w:color w:val="000000" w:themeColor="text1"/>
          <w:kern w:val="0"/>
          <w:sz w:val="32"/>
          <w:szCs w:val="32"/>
          <w:highlight w:val="none"/>
          <w:lang w:val="en-US" w:eastAsia="zh-CN" w:bidi="ar-SA"/>
          <w14:textFill>
            <w14:solidFill>
              <w14:schemeClr w14:val="tx1"/>
            </w14:solidFill>
          </w14:textFill>
        </w:rPr>
        <w:t>以51万元的罚款</w:t>
      </w:r>
      <w:r>
        <w:rPr>
          <w:rFonts w:hint="eastAsia" w:ascii="仿宋_GB2312" w:hAnsi="仿宋_GB2312" w:eastAsia="仿宋_GB2312" w:cs="仿宋_GB2312"/>
          <w:snapToGrid w:val="0"/>
          <w:color w:val="auto"/>
          <w:kern w:val="0"/>
          <w:sz w:val="32"/>
          <w:szCs w:val="32"/>
          <w:highlight w:val="none"/>
          <w:lang w:val="en-US" w:eastAsia="zh-CN" w:bidi="ar-SA"/>
        </w:rPr>
        <w:t>。</w:t>
      </w:r>
    </w:p>
    <w:p w14:paraId="0273416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CESI楷体-GB2312" w:hAnsi="CESI楷体-GB2312" w:eastAsia="CESI楷体-GB2312" w:cs="CESI楷体-GB2312"/>
          <w:b w:val="0"/>
          <w:bCs w:val="0"/>
          <w:snapToGrid w:val="0"/>
          <w:color w:val="auto"/>
          <w:kern w:val="0"/>
          <w:sz w:val="32"/>
          <w:szCs w:val="32"/>
          <w:highlight w:val="none"/>
          <w:lang w:val="en-US" w:eastAsia="zh-CN"/>
        </w:rPr>
      </w:pPr>
      <w:bookmarkStart w:id="30" w:name="_Toc25717"/>
      <w:r>
        <w:rPr>
          <w:rFonts w:hint="eastAsia" w:ascii="CESI楷体-GB2312" w:hAnsi="CESI楷体-GB2312" w:eastAsia="CESI楷体-GB2312" w:cs="CESI楷体-GB2312"/>
          <w:b w:val="0"/>
          <w:bCs w:val="0"/>
          <w:snapToGrid w:val="0"/>
          <w:color w:val="auto"/>
          <w:kern w:val="0"/>
          <w:sz w:val="32"/>
          <w:szCs w:val="32"/>
          <w:highlight w:val="none"/>
          <w:lang w:val="en-US" w:eastAsia="zh-CN"/>
        </w:rPr>
        <w:t>（三）其他处理建议</w:t>
      </w:r>
      <w:bookmarkEnd w:id="30"/>
    </w:p>
    <w:p w14:paraId="76A8163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12.根河市自然资源局为行业管理部门，虽对地质勘查行业开展安全生产工作检查，但未发现野外作业人员违规操作等问题，管理存在不足，落实行业管理部门“三管三必须”责任不到位的问题。根据</w:t>
      </w:r>
      <w:r>
        <w:rPr>
          <w:rFonts w:hint="eastAsia" w:ascii="仿宋_GB2312" w:hAnsi="仿宋_GB2312" w:eastAsia="仿宋_GB2312" w:cs="仿宋_GB2312"/>
          <w:color w:val="000000"/>
          <w:kern w:val="0"/>
          <w:sz w:val="32"/>
          <w:szCs w:val="32"/>
          <w:highlight w:val="none"/>
          <w:lang w:val="en-US" w:eastAsia="zh-CN" w:bidi="ar"/>
        </w:rPr>
        <w:t>《</w:t>
      </w:r>
      <w:r>
        <w:rPr>
          <w:rFonts w:hint="eastAsia" w:ascii="仿宋_GB2312" w:hAnsi="仿宋_GB2312" w:eastAsia="仿宋_GB2312" w:cs="仿宋_GB2312"/>
          <w:color w:val="auto"/>
          <w:sz w:val="32"/>
          <w:szCs w:val="24"/>
          <w:highlight w:val="none"/>
          <w:lang w:val="en-US" w:eastAsia="zh-CN"/>
        </w:rPr>
        <w:t>根河市安全生产约谈办法（试行）</w:t>
      </w:r>
      <w:r>
        <w:rPr>
          <w:rFonts w:hint="eastAsia" w:ascii="仿宋_GB2312" w:hAnsi="仿宋_GB2312" w:eastAsia="仿宋_GB2312" w:cs="仿宋_GB2312"/>
          <w:color w:val="000000"/>
          <w:kern w:val="0"/>
          <w:sz w:val="32"/>
          <w:szCs w:val="32"/>
          <w:highlight w:val="none"/>
          <w:lang w:val="en-US" w:eastAsia="zh-CN" w:bidi="ar"/>
        </w:rPr>
        <w:t>》</w:t>
      </w:r>
      <w:r>
        <w:rPr>
          <w:rFonts w:hint="eastAsia" w:ascii="仿宋_GB2312" w:hAnsi="仿宋_GB2312" w:eastAsia="仿宋_GB2312" w:cs="仿宋_GB2312"/>
          <w:snapToGrid w:val="0"/>
          <w:color w:val="auto"/>
          <w:kern w:val="0"/>
          <w:sz w:val="32"/>
          <w:szCs w:val="32"/>
          <w:highlight w:val="none"/>
          <w:lang w:val="en-US" w:eastAsia="zh-CN" w:bidi="ar-SA"/>
        </w:rPr>
        <w:t>建议对根河市自然资源局进行约谈，向根河市人民政府作出深刻检查。</w:t>
      </w:r>
    </w:p>
    <w:p w14:paraId="3F50909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13.根河市满归镇政府为属地监管部门</w:t>
      </w:r>
      <w:r>
        <w:rPr>
          <w:rFonts w:hint="default" w:ascii="仿宋_GB2312" w:hAnsi="仿宋_GB2312" w:eastAsia="仿宋_GB2312" w:cs="仿宋_GB2312"/>
          <w:snapToGrid w:val="0"/>
          <w:color w:val="auto"/>
          <w:kern w:val="0"/>
          <w:sz w:val="32"/>
          <w:szCs w:val="32"/>
          <w:highlight w:val="none"/>
          <w:lang w:val="en-US" w:eastAsia="zh-CN" w:bidi="ar-SA"/>
        </w:rPr>
        <w:t>，</w:t>
      </w:r>
      <w:r>
        <w:rPr>
          <w:rFonts w:hint="eastAsia" w:ascii="仿宋_GB2312" w:hAnsi="仿宋_GB2312" w:eastAsia="仿宋_GB2312" w:cs="仿宋_GB2312"/>
          <w:snapToGrid w:val="0"/>
          <w:color w:val="auto"/>
          <w:kern w:val="0"/>
          <w:sz w:val="32"/>
          <w:szCs w:val="32"/>
          <w:highlight w:val="none"/>
          <w:lang w:val="en-US" w:eastAsia="zh-CN" w:bidi="ar-SA"/>
        </w:rPr>
        <w:t>负有属地监管职责，存在与行业主管部门信息沟通不畅的问题，未发现该作业单位存在的隐患，对辖区内的安全生产宣传存在盲区，临时性项目施工风险警示针对性不强的问题。根据</w:t>
      </w:r>
      <w:r>
        <w:rPr>
          <w:rFonts w:hint="eastAsia" w:ascii="仿宋_GB2312" w:hAnsi="仿宋_GB2312" w:eastAsia="仿宋_GB2312" w:cs="仿宋_GB2312"/>
          <w:color w:val="000000"/>
          <w:kern w:val="0"/>
          <w:sz w:val="32"/>
          <w:szCs w:val="32"/>
          <w:highlight w:val="none"/>
          <w:lang w:val="en-US" w:eastAsia="zh-CN" w:bidi="ar"/>
        </w:rPr>
        <w:t>《</w:t>
      </w:r>
      <w:r>
        <w:rPr>
          <w:rFonts w:hint="eastAsia" w:ascii="仿宋_GB2312" w:hAnsi="仿宋_GB2312" w:eastAsia="仿宋_GB2312" w:cs="仿宋_GB2312"/>
          <w:color w:val="auto"/>
          <w:sz w:val="32"/>
          <w:szCs w:val="24"/>
          <w:highlight w:val="none"/>
          <w:lang w:val="en-US" w:eastAsia="zh-CN"/>
        </w:rPr>
        <w:t>根河市安全生产约谈办法（试行）</w:t>
      </w:r>
      <w:r>
        <w:rPr>
          <w:rFonts w:hint="eastAsia" w:ascii="仿宋_GB2312" w:hAnsi="仿宋_GB2312" w:eastAsia="仿宋_GB2312" w:cs="仿宋_GB2312"/>
          <w:color w:val="000000"/>
          <w:kern w:val="0"/>
          <w:sz w:val="32"/>
          <w:szCs w:val="32"/>
          <w:highlight w:val="none"/>
          <w:lang w:val="en-US" w:eastAsia="zh-CN" w:bidi="ar"/>
        </w:rPr>
        <w:t>》</w:t>
      </w:r>
      <w:r>
        <w:rPr>
          <w:rFonts w:hint="eastAsia" w:ascii="仿宋_GB2312" w:hAnsi="仿宋_GB2312" w:eastAsia="仿宋_GB2312" w:cs="仿宋_GB2312"/>
          <w:snapToGrid w:val="0"/>
          <w:color w:val="auto"/>
          <w:kern w:val="0"/>
          <w:sz w:val="32"/>
          <w:szCs w:val="32"/>
          <w:highlight w:val="none"/>
          <w:lang w:val="en-US" w:eastAsia="zh-CN" w:bidi="ar-SA"/>
        </w:rPr>
        <w:t>建议对满归镇政府进行约谈，向根河市人民政府作出深刻检查。</w:t>
      </w:r>
    </w:p>
    <w:p w14:paraId="77DE762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14.根河市矿山安全监管局为行业监管部门，负有监管职责，存在</w:t>
      </w:r>
      <w:r>
        <w:rPr>
          <w:rFonts w:hint="default" w:ascii="仿宋_GB2312" w:hAnsi="仿宋_GB2312" w:eastAsia="仿宋_GB2312" w:cs="仿宋_GB2312"/>
          <w:snapToGrid w:val="0"/>
          <w:color w:val="auto"/>
          <w:kern w:val="0"/>
          <w:sz w:val="32"/>
          <w:szCs w:val="32"/>
          <w:highlight w:val="none"/>
          <w:lang w:val="en-US" w:eastAsia="zh-CN" w:bidi="ar-SA"/>
        </w:rPr>
        <w:t>沟通协调机制不畅，与自然资源、属地政府沟通协调不到位，对全市矿山地质勘探情况掌握不全面</w:t>
      </w:r>
      <w:r>
        <w:rPr>
          <w:rFonts w:hint="eastAsia" w:ascii="仿宋_GB2312" w:hAnsi="仿宋_GB2312" w:eastAsia="仿宋_GB2312" w:cs="仿宋_GB2312"/>
          <w:snapToGrid w:val="0"/>
          <w:color w:val="auto"/>
          <w:kern w:val="0"/>
          <w:sz w:val="32"/>
          <w:szCs w:val="32"/>
          <w:highlight w:val="none"/>
          <w:lang w:val="en-US" w:eastAsia="zh-CN" w:bidi="ar-SA"/>
        </w:rPr>
        <w:t>，</w:t>
      </w:r>
      <w:r>
        <w:rPr>
          <w:rFonts w:hint="default" w:ascii="仿宋_GB2312" w:hAnsi="仿宋_GB2312" w:eastAsia="仿宋_GB2312" w:cs="仿宋_GB2312"/>
          <w:snapToGrid w:val="0"/>
          <w:color w:val="auto"/>
          <w:kern w:val="0"/>
          <w:sz w:val="32"/>
          <w:szCs w:val="32"/>
          <w:highlight w:val="none"/>
          <w:lang w:val="en-US" w:eastAsia="zh-CN" w:bidi="ar-SA"/>
        </w:rPr>
        <w:t>对矿山地质勘查安全监管不全面</w:t>
      </w:r>
      <w:r>
        <w:rPr>
          <w:rFonts w:hint="eastAsia" w:ascii="仿宋_GB2312" w:hAnsi="仿宋_GB2312" w:eastAsia="仿宋_GB2312" w:cs="仿宋_GB2312"/>
          <w:snapToGrid w:val="0"/>
          <w:color w:val="auto"/>
          <w:kern w:val="0"/>
          <w:sz w:val="32"/>
          <w:szCs w:val="32"/>
          <w:highlight w:val="none"/>
          <w:lang w:val="en-US" w:eastAsia="zh-CN" w:bidi="ar-SA"/>
        </w:rPr>
        <w:t>的问题，建议根河市矿山安全监管局向根河市人民政府作出深刻检查</w:t>
      </w:r>
      <w:r>
        <w:rPr>
          <w:rFonts w:hint="default" w:ascii="仿宋_GB2312" w:hAnsi="仿宋_GB2312" w:eastAsia="仿宋_GB2312" w:cs="仿宋_GB2312"/>
          <w:snapToGrid w:val="0"/>
          <w:color w:val="auto"/>
          <w:kern w:val="0"/>
          <w:sz w:val="32"/>
          <w:szCs w:val="32"/>
          <w:highlight w:val="none"/>
          <w:lang w:val="en-US" w:eastAsia="zh-CN" w:bidi="ar-SA"/>
        </w:rPr>
        <w:t>。</w:t>
      </w:r>
    </w:p>
    <w:p w14:paraId="0D91F2F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31" w:name="_Toc31424"/>
      <w:r>
        <w:rPr>
          <w:rFonts w:hint="eastAsia" w:ascii="黑体" w:hAnsi="黑体" w:eastAsia="黑体" w:cs="黑体"/>
          <w:snapToGrid w:val="0"/>
          <w:kern w:val="0"/>
          <w:sz w:val="32"/>
          <w:szCs w:val="32"/>
          <w:highlight w:val="none"/>
          <w:lang w:val="en-US" w:eastAsia="zh-CN"/>
        </w:rPr>
        <w:t>七、事故主要教训</w:t>
      </w:r>
      <w:bookmarkEnd w:id="31"/>
      <w:r>
        <w:rPr>
          <w:rFonts w:hint="eastAsia" w:ascii="黑体" w:hAnsi="黑体" w:eastAsia="黑体" w:cs="黑体"/>
          <w:snapToGrid w:val="0"/>
          <w:kern w:val="0"/>
          <w:sz w:val="32"/>
          <w:szCs w:val="32"/>
          <w:highlight w:val="none"/>
          <w:lang w:val="en-US" w:eastAsia="zh-CN"/>
        </w:rPr>
        <w:t xml:space="preserve"> </w:t>
      </w:r>
    </w:p>
    <w:p w14:paraId="3ADAA38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上述事故的发生暴露出企业未严格落实安全生产主体责任，安全生产管理缺失，安全生产管理体系不完善，上级公司对子公司的安全管理“层层衰减”未严格落实全员安全生产责任制，安全教育和培训不到位，安全生产规章制度不落实，隐患排查不全面，在生产所用设备的管理上存在严重漏洞。作业人员未有效履行相关安全生产规章制度和安全操作规程，未完全掌握本岗位的安全操作技能；企业主要负责人没有认真履行“全面统筹安全生产”的法定职责，日常安全管理流于形式；属地和行业安全监管存在盲区，没有完全掌握相关企业在本地区的生产经营情况。</w:t>
      </w:r>
    </w:p>
    <w:p w14:paraId="2C95BB2E">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bookmarkStart w:id="32" w:name="_Toc17187"/>
      <w:r>
        <w:rPr>
          <w:rFonts w:hint="eastAsia" w:ascii="黑体" w:hAnsi="黑体" w:eastAsia="黑体" w:cs="黑体"/>
          <w:snapToGrid w:val="0"/>
          <w:kern w:val="0"/>
          <w:sz w:val="32"/>
          <w:szCs w:val="32"/>
          <w:highlight w:val="none"/>
          <w:lang w:val="en-US" w:eastAsia="zh-CN"/>
        </w:rPr>
        <w:t>八、事故整改和防范措施</w:t>
      </w:r>
      <w:bookmarkEnd w:id="32"/>
    </w:p>
    <w:p w14:paraId="3CCD56B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为吸取事故教训，防止安全生产事故的发生，切实做好我市安全生产工作，针对本起事故所反映出的问题，提出以下事故防范和整改措施：</w:t>
      </w:r>
    </w:p>
    <w:p w14:paraId="66FE35DA">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33" w:name="_Toc32606"/>
      <w:r>
        <w:rPr>
          <w:rFonts w:hint="eastAsia" w:ascii="CESI楷体-GB2312" w:hAnsi="CESI楷体-GB2312" w:eastAsia="CESI楷体-GB2312" w:cs="CESI楷体-GB2312"/>
          <w:b w:val="0"/>
          <w:bCs w:val="0"/>
          <w:snapToGrid w:val="0"/>
          <w:color w:val="auto"/>
          <w:kern w:val="0"/>
          <w:sz w:val="32"/>
          <w:szCs w:val="32"/>
          <w:highlight w:val="none"/>
          <w:lang w:val="en-US" w:eastAsia="zh-CN"/>
        </w:rPr>
        <w:t>（一）呼伦贝尔市盛佳工程勘察有限责任公司</w:t>
      </w:r>
      <w:bookmarkEnd w:id="33"/>
    </w:p>
    <w:p w14:paraId="369C19A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要深刻吸取事故教训，严格落实企业安全生产主体责任，进一步健全、完善并落实全员安全生产责任制；立即建立生产设备安全管理相关制度；按要求扎实开展安全生产教育培训、隐患排查、应急演练等安全生产管理工作。</w:t>
      </w:r>
    </w:p>
    <w:p w14:paraId="6CFE5F47">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34" w:name="_Toc9458"/>
      <w:r>
        <w:rPr>
          <w:rFonts w:hint="eastAsia" w:ascii="CESI楷体-GB2312" w:hAnsi="CESI楷体-GB2312" w:eastAsia="CESI楷体-GB2312" w:cs="CESI楷体-GB2312"/>
          <w:b w:val="0"/>
          <w:bCs w:val="0"/>
          <w:snapToGrid w:val="0"/>
          <w:color w:val="auto"/>
          <w:kern w:val="0"/>
          <w:sz w:val="32"/>
          <w:szCs w:val="32"/>
          <w:highlight w:val="none"/>
          <w:lang w:val="en-US" w:eastAsia="zh-CN"/>
        </w:rPr>
        <w:t>（二）内蒙古第六地质矿产勘查开发有限责任公司</w:t>
      </w:r>
      <w:bookmarkEnd w:id="34"/>
    </w:p>
    <w:p w14:paraId="00DCB00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要立即建立健全《子公司安全管理办法》切实消除安全管理漏洞，强化对子公司安全管理管控；对所有勘探项目开展安全风险大排查大整治，对面包山多金属矿勘探项目进行全面整顿，加强对项目负责人的培训管理，重新审核所有从业人员资质和设备安全性能，强化安全管理人员履职能力。</w:t>
      </w:r>
    </w:p>
    <w:p w14:paraId="152611E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35" w:name="_Toc5659"/>
      <w:r>
        <w:rPr>
          <w:rFonts w:hint="eastAsia" w:ascii="CESI楷体-GB2312" w:hAnsi="CESI楷体-GB2312" w:eastAsia="CESI楷体-GB2312" w:cs="CESI楷体-GB2312"/>
          <w:b w:val="0"/>
          <w:bCs w:val="0"/>
          <w:snapToGrid w:val="0"/>
          <w:color w:val="auto"/>
          <w:kern w:val="0"/>
          <w:sz w:val="32"/>
          <w:szCs w:val="32"/>
          <w:highlight w:val="none"/>
          <w:lang w:val="en-US" w:eastAsia="zh-CN"/>
        </w:rPr>
        <w:t>（三）根河市自然资源局</w:t>
      </w:r>
      <w:bookmarkEnd w:id="35"/>
    </w:p>
    <w:p w14:paraId="6387B3C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default" w:ascii="仿宋_GB2312" w:hAnsi="仿宋_GB2312" w:eastAsia="仿宋_GB2312" w:cs="仿宋_GB2312"/>
          <w:snapToGrid w:val="0"/>
          <w:color w:val="auto"/>
          <w:kern w:val="0"/>
          <w:sz w:val="32"/>
          <w:szCs w:val="32"/>
          <w:highlight w:val="none"/>
          <w:lang w:val="en-US" w:eastAsia="zh-CN" w:bidi="ar-SA"/>
        </w:rPr>
        <w:t>要进一步提高思想认识，加强对</w:t>
      </w:r>
      <w:r>
        <w:rPr>
          <w:rFonts w:hint="eastAsia" w:ascii="仿宋_GB2312" w:hAnsi="仿宋_GB2312" w:eastAsia="仿宋_GB2312" w:cs="仿宋_GB2312"/>
          <w:snapToGrid w:val="0"/>
          <w:color w:val="auto"/>
          <w:kern w:val="0"/>
          <w:sz w:val="32"/>
          <w:szCs w:val="32"/>
          <w:highlight w:val="none"/>
          <w:lang w:val="en-US" w:eastAsia="zh-CN" w:bidi="ar-SA"/>
        </w:rPr>
        <w:t>本市</w:t>
      </w:r>
      <w:r>
        <w:rPr>
          <w:rFonts w:hint="default" w:ascii="仿宋_GB2312" w:hAnsi="仿宋_GB2312" w:eastAsia="仿宋_GB2312" w:cs="仿宋_GB2312"/>
          <w:snapToGrid w:val="0"/>
          <w:color w:val="auto"/>
          <w:kern w:val="0"/>
          <w:sz w:val="32"/>
          <w:szCs w:val="32"/>
          <w:highlight w:val="none"/>
          <w:lang w:val="en-US" w:eastAsia="zh-CN" w:bidi="ar-SA"/>
        </w:rPr>
        <w:t>生产经营单位</w:t>
      </w:r>
      <w:r>
        <w:rPr>
          <w:rFonts w:hint="eastAsia" w:ascii="仿宋_GB2312" w:hAnsi="仿宋_GB2312" w:eastAsia="仿宋_GB2312" w:cs="仿宋_GB2312"/>
          <w:snapToGrid w:val="0"/>
          <w:color w:val="auto"/>
          <w:kern w:val="0"/>
          <w:sz w:val="32"/>
          <w:szCs w:val="32"/>
          <w:highlight w:val="none"/>
          <w:lang w:val="en-US" w:eastAsia="zh-CN" w:bidi="ar-SA"/>
        </w:rPr>
        <w:t>的安全检查和</w:t>
      </w:r>
      <w:r>
        <w:rPr>
          <w:rFonts w:hint="default" w:ascii="仿宋_GB2312" w:hAnsi="仿宋_GB2312" w:eastAsia="仿宋_GB2312" w:cs="仿宋_GB2312"/>
          <w:snapToGrid w:val="0"/>
          <w:color w:val="auto"/>
          <w:kern w:val="0"/>
          <w:sz w:val="32"/>
          <w:szCs w:val="32"/>
          <w:highlight w:val="none"/>
          <w:lang w:val="en-US" w:eastAsia="zh-CN" w:bidi="ar-SA"/>
        </w:rPr>
        <w:t>帮扶指导，督促企业落实安全生产主体责任。要切实履行行业管理部门职责，通过会商研判、联合执法、问题移交等工作机制，形成齐抓共管的监管合力。</w:t>
      </w:r>
    </w:p>
    <w:p w14:paraId="08FAFC0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36" w:name="_Toc2792"/>
      <w:r>
        <w:rPr>
          <w:rFonts w:hint="eastAsia" w:ascii="CESI楷体-GB2312" w:hAnsi="CESI楷体-GB2312" w:eastAsia="CESI楷体-GB2312" w:cs="CESI楷体-GB2312"/>
          <w:b w:val="0"/>
          <w:bCs w:val="0"/>
          <w:snapToGrid w:val="0"/>
          <w:color w:val="auto"/>
          <w:kern w:val="0"/>
          <w:sz w:val="32"/>
          <w:szCs w:val="32"/>
          <w:highlight w:val="none"/>
          <w:lang w:val="en-US" w:eastAsia="zh-CN"/>
        </w:rPr>
        <w:t>（四）根河市满归镇人民政府</w:t>
      </w:r>
      <w:bookmarkEnd w:id="36"/>
    </w:p>
    <w:p w14:paraId="6A07E17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default" w:ascii="仿宋_GB2312" w:hAnsi="仿宋_GB2312" w:eastAsia="仿宋_GB2312" w:cs="仿宋_GB2312"/>
          <w:snapToGrid w:val="0"/>
          <w:color w:val="auto"/>
          <w:kern w:val="0"/>
          <w:sz w:val="32"/>
          <w:szCs w:val="32"/>
          <w:highlight w:val="none"/>
          <w:lang w:val="en-US" w:eastAsia="zh-CN" w:bidi="ar-SA"/>
        </w:rPr>
        <w:t>要</w:t>
      </w:r>
      <w:r>
        <w:rPr>
          <w:rFonts w:hint="eastAsia" w:ascii="仿宋_GB2312" w:hAnsi="仿宋_GB2312" w:eastAsia="仿宋_GB2312" w:cs="仿宋_GB2312"/>
          <w:snapToGrid w:val="0"/>
          <w:color w:val="auto"/>
          <w:kern w:val="0"/>
          <w:sz w:val="32"/>
          <w:szCs w:val="32"/>
          <w:highlight w:val="none"/>
          <w:lang w:val="en-US" w:eastAsia="zh-CN" w:bidi="ar-SA"/>
        </w:rPr>
        <w:t>完全掌握相关企业在本地区的生产经营情况，</w:t>
      </w:r>
      <w:r>
        <w:rPr>
          <w:rFonts w:hint="default" w:ascii="仿宋_GB2312" w:hAnsi="仿宋_GB2312" w:eastAsia="仿宋_GB2312" w:cs="仿宋_GB2312"/>
          <w:snapToGrid w:val="0"/>
          <w:color w:val="auto"/>
          <w:kern w:val="0"/>
          <w:sz w:val="32"/>
          <w:szCs w:val="32"/>
          <w:highlight w:val="none"/>
          <w:lang w:val="en-US" w:eastAsia="zh-CN" w:bidi="ar-SA"/>
        </w:rPr>
        <w:t>进一步强化对</w:t>
      </w:r>
      <w:r>
        <w:rPr>
          <w:rFonts w:hint="eastAsia" w:ascii="仿宋_GB2312" w:hAnsi="仿宋_GB2312" w:eastAsia="仿宋_GB2312" w:cs="仿宋_GB2312"/>
          <w:snapToGrid w:val="0"/>
          <w:color w:val="auto"/>
          <w:kern w:val="0"/>
          <w:sz w:val="32"/>
          <w:szCs w:val="32"/>
          <w:highlight w:val="none"/>
          <w:lang w:val="en-US" w:eastAsia="zh-CN" w:bidi="ar-SA"/>
        </w:rPr>
        <w:t>本地区</w:t>
      </w:r>
      <w:r>
        <w:rPr>
          <w:rFonts w:hint="default" w:ascii="仿宋_GB2312" w:hAnsi="仿宋_GB2312" w:eastAsia="仿宋_GB2312" w:cs="仿宋_GB2312"/>
          <w:snapToGrid w:val="0"/>
          <w:color w:val="auto"/>
          <w:kern w:val="0"/>
          <w:sz w:val="32"/>
          <w:szCs w:val="32"/>
          <w:highlight w:val="none"/>
          <w:lang w:val="en-US" w:eastAsia="zh-CN" w:bidi="ar-SA"/>
        </w:rPr>
        <w:t>企业安全生产知识及政策法规的宣传，定期召开</w:t>
      </w:r>
      <w:r>
        <w:rPr>
          <w:rFonts w:hint="eastAsia" w:ascii="仿宋_GB2312" w:hAnsi="仿宋_GB2312" w:eastAsia="仿宋_GB2312" w:cs="仿宋_GB2312"/>
          <w:snapToGrid w:val="0"/>
          <w:color w:val="auto"/>
          <w:kern w:val="0"/>
          <w:sz w:val="32"/>
          <w:szCs w:val="32"/>
          <w:highlight w:val="none"/>
          <w:lang w:val="en-US" w:eastAsia="zh-CN" w:bidi="ar-SA"/>
        </w:rPr>
        <w:t>地区</w:t>
      </w:r>
      <w:r>
        <w:rPr>
          <w:rFonts w:hint="default" w:ascii="仿宋_GB2312" w:hAnsi="仿宋_GB2312" w:eastAsia="仿宋_GB2312" w:cs="仿宋_GB2312"/>
          <w:snapToGrid w:val="0"/>
          <w:color w:val="auto"/>
          <w:kern w:val="0"/>
          <w:sz w:val="32"/>
          <w:szCs w:val="32"/>
          <w:highlight w:val="none"/>
          <w:lang w:val="en-US" w:eastAsia="zh-CN" w:bidi="ar-SA"/>
        </w:rPr>
        <w:t>安全生产分析研判会议，根据本</w:t>
      </w:r>
      <w:r>
        <w:rPr>
          <w:rFonts w:hint="eastAsia" w:ascii="仿宋_GB2312" w:hAnsi="仿宋_GB2312" w:eastAsia="仿宋_GB2312" w:cs="仿宋_GB2312"/>
          <w:snapToGrid w:val="0"/>
          <w:color w:val="auto"/>
          <w:kern w:val="0"/>
          <w:sz w:val="32"/>
          <w:szCs w:val="32"/>
          <w:highlight w:val="none"/>
          <w:lang w:val="en-US" w:eastAsia="zh-CN" w:bidi="ar-SA"/>
        </w:rPr>
        <w:t>地区</w:t>
      </w:r>
      <w:r>
        <w:rPr>
          <w:rFonts w:hint="default" w:ascii="仿宋_GB2312" w:hAnsi="仿宋_GB2312" w:eastAsia="仿宋_GB2312" w:cs="仿宋_GB2312"/>
          <w:snapToGrid w:val="0"/>
          <w:color w:val="auto"/>
          <w:kern w:val="0"/>
          <w:sz w:val="32"/>
          <w:szCs w:val="32"/>
          <w:highlight w:val="none"/>
          <w:lang w:val="en-US" w:eastAsia="zh-CN" w:bidi="ar-SA"/>
        </w:rPr>
        <w:t>各类生产经营活动风险情况，加强与行业主管部门及监管部门的沟通，并配合相关部门开展安全生产检查工作。</w:t>
      </w:r>
    </w:p>
    <w:p w14:paraId="24767C4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CESI楷体-GB2312" w:hAnsi="CESI楷体-GB2312" w:eastAsia="CESI楷体-GB2312" w:cs="CESI楷体-GB2312"/>
          <w:b w:val="0"/>
          <w:bCs w:val="0"/>
          <w:snapToGrid w:val="0"/>
          <w:color w:val="auto"/>
          <w:kern w:val="0"/>
          <w:sz w:val="32"/>
          <w:szCs w:val="32"/>
          <w:highlight w:val="none"/>
          <w:lang w:val="en-US" w:eastAsia="zh-CN"/>
        </w:rPr>
      </w:pPr>
      <w:bookmarkStart w:id="37" w:name="_Toc18906"/>
      <w:r>
        <w:rPr>
          <w:rFonts w:hint="eastAsia" w:ascii="CESI楷体-GB2312" w:hAnsi="CESI楷体-GB2312" w:eastAsia="CESI楷体-GB2312" w:cs="CESI楷体-GB2312"/>
          <w:b w:val="0"/>
          <w:bCs w:val="0"/>
          <w:snapToGrid w:val="0"/>
          <w:color w:val="auto"/>
          <w:kern w:val="0"/>
          <w:sz w:val="32"/>
          <w:szCs w:val="32"/>
          <w:highlight w:val="none"/>
          <w:lang w:val="en-US" w:eastAsia="zh-CN"/>
        </w:rPr>
        <w:t>（五）</w:t>
      </w:r>
      <w:bookmarkEnd w:id="37"/>
      <w:r>
        <w:rPr>
          <w:rFonts w:hint="eastAsia" w:ascii="CESI楷体-GB2312" w:hAnsi="CESI楷体-GB2312" w:eastAsia="CESI楷体-GB2312" w:cs="CESI楷体-GB2312"/>
          <w:b w:val="0"/>
          <w:bCs w:val="0"/>
          <w:snapToGrid w:val="0"/>
          <w:color w:val="auto"/>
          <w:kern w:val="0"/>
          <w:sz w:val="32"/>
          <w:szCs w:val="32"/>
          <w:highlight w:val="none"/>
          <w:lang w:val="en-US" w:eastAsia="zh-CN"/>
        </w:rPr>
        <w:t>根河市矿山安全监管局</w:t>
      </w:r>
    </w:p>
    <w:p w14:paraId="6397A58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要建立协同联动机制，联合自然资源部门、各乡镇政府定期召开工作协调会。同步开展勘探备案工作，要求探矿勘探队伍需具备安全生产条件方可实施勘探工作，依法依规开展探矿工作，如出现违法违规行为将采取行政处罚措施依法处理。全面摸底排查，掌握全市探矿队伍情况，明确项目位置、把握重要时间节点、勘探范围、施工单位、安全措施等信息，要求探矿企业或队伍按照安全生产操作规程实施探矿作业。</w:t>
      </w:r>
    </w:p>
    <w:sectPr>
      <w:footerReference r:id="rId6" w:type="default"/>
      <w:footerReference r:id="rId7" w:type="even"/>
      <w:pgSz w:w="11906" w:h="16838"/>
      <w:pgMar w:top="1440" w:right="1800" w:bottom="1440" w:left="1800" w:header="850" w:footer="1191"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0000600000000000000"/>
    <w:charset w:val="86"/>
    <w:family w:val="script"/>
    <w:pitch w:val="default"/>
    <w:sig w:usb0="800002BF" w:usb1="184F6CF8" w:usb2="00000012" w:usb3="00000000" w:csb0="00160001" w:csb1="12030000"/>
  </w:font>
  <w:font w:name="CESI楷体-GB2312">
    <w:altName w:val="楷体_GB2312"/>
    <w:panose1 w:val="02000500000000000000"/>
    <w:charset w:val="86"/>
    <w:family w:val="auto"/>
    <w:pitch w:val="default"/>
    <w:sig w:usb0="00000000" w:usb1="00000000" w:usb2="00000012"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DBE">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E3A56">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2679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64FF2">
                          <w:pPr>
                            <w:pStyle w:val="7"/>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2864FF2">
                    <w:pPr>
                      <w:pStyle w:val="7"/>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9D417">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081B8">
                          <w:pPr>
                            <w:pStyle w:val="7"/>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BA081B8">
                    <w:pPr>
                      <w:pStyle w:val="7"/>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46CCF09">
      <w:pPr>
        <w:pStyle w:val="10"/>
        <w:rPr>
          <w:rFonts w:hint="eastAsia"/>
        </w:rPr>
      </w:pPr>
      <w:r>
        <w:rPr>
          <w:rStyle w:val="18"/>
          <w:rFonts w:hint="eastAsia"/>
        </w:rPr>
        <w:t>【1】</w:t>
      </w:r>
      <w:r>
        <w:t xml:space="preserve"> </w:t>
      </w:r>
      <w:r>
        <w:rPr>
          <w:rFonts w:hint="eastAsia"/>
        </w:rPr>
        <w:t>《内蒙古第六地质矿产勘查开发有限责任公司经营项目管理办法》第三条项目经营应遵循以下原则:</w:t>
      </w:r>
    </w:p>
    <w:p w14:paraId="6F8783CA">
      <w:pPr>
        <w:pStyle w:val="10"/>
        <w:rPr>
          <w:rFonts w:hint="eastAsia"/>
        </w:rPr>
      </w:pPr>
      <w:r>
        <w:rPr>
          <w:rFonts w:hint="eastAsia"/>
        </w:rPr>
        <w:t>(一)统筹管理、分类实施的原则。下属企业在开展经营活动中，全面服从公司的指导、协调和统筹管理，公司统一协调项目承揽与实施,按照年度经营企业分工指定项目承担单位负责项目实施。</w:t>
      </w:r>
    </w:p>
    <w:p w14:paraId="2A0C65BF">
      <w:pPr>
        <w:pStyle w:val="10"/>
        <w:rPr>
          <w:rFonts w:hint="eastAsia"/>
        </w:rPr>
      </w:pPr>
      <w:r>
        <w:rPr>
          <w:rFonts w:hint="eastAsia"/>
        </w:rPr>
        <w:t>(二)统一流程、归口管理的原则。项目实施过程中统一执行公司制定的各重要环节管控流程和制度，接受业务管理部门的监管。对管理成熟或风险小的企业或相关业务可以实行授权管理。</w:t>
      </w:r>
    </w:p>
    <w:p w14:paraId="68120C61">
      <w:pPr>
        <w:pStyle w:val="10"/>
        <w:rPr>
          <w:rFonts w:hint="eastAsia"/>
        </w:rPr>
      </w:pPr>
      <w:r>
        <w:rPr>
          <w:rFonts w:hint="eastAsia"/>
        </w:rPr>
        <w:t>(三)统筹核算、自负盈亏的原则。项目收支核算由公司统筹规划，实行项目收支计划与决算管理，合同单位是项目对外结算主体，通过内部核算将项目盈亏计入项目承担单位。</w:t>
      </w:r>
    </w:p>
    <w:p w14:paraId="0DA3FC7E">
      <w:pPr>
        <w:pStyle w:val="10"/>
        <w:rPr>
          <w:rFonts w:hint="eastAsia"/>
        </w:rPr>
      </w:pPr>
      <w:r>
        <w:rPr>
          <w:rFonts w:hint="eastAsia"/>
        </w:rPr>
        <w:t>(四)分工协作、效率优先的原则。为提高项目实施效率、公司可以指定多个下属企业作为共同项目承担单位、项目承担单位也可以将部分专业工作直接委托给其他下属企业完成。</w:t>
      </w:r>
    </w:p>
    <w:p w14:paraId="449DFF69">
      <w:pPr>
        <w:pStyle w:val="10"/>
        <w:rPr>
          <w:rFonts w:hint="eastAsia"/>
        </w:rPr>
      </w:pPr>
      <w:r>
        <w:rPr>
          <w:rStyle w:val="18"/>
          <w:rFonts w:hint="eastAsia"/>
        </w:rPr>
        <w:t>【2】</w:t>
      </w:r>
      <w:r>
        <w:t xml:space="preserve"> </w:t>
      </w:r>
      <w:r>
        <w:rPr>
          <w:rFonts w:hint="eastAsia"/>
        </w:rPr>
        <w:t>《2025年内蒙古地勘六公司企业经营分工》五、呼伦贝尔盛佳工程勘察有限责任公司：负责探矿工程和工程勘察业等业务板块的经营与管理。承担地质钻探、坑探，水文地质钻探，岩土工程设计与勘察施工、机械维修与网围栏等工程材料加工与销售、农田水利建设工程设计、工程监理复核、土石方施工等业务。</w:t>
      </w:r>
    </w:p>
    <w:p w14:paraId="57350393">
      <w:pPr>
        <w:pStyle w:val="10"/>
        <w:rPr>
          <w:rFonts w:hint="eastAsia"/>
        </w:rPr>
      </w:pPr>
      <w:r>
        <w:rPr>
          <w:rStyle w:val="18"/>
          <w:rFonts w:hint="eastAsia"/>
        </w:rPr>
        <w:t>【3】</w:t>
      </w:r>
      <w:r>
        <w:t xml:space="preserve"> </w:t>
      </w:r>
      <w:r>
        <w:rPr>
          <w:rFonts w:hint="eastAsia"/>
        </w:rPr>
        <w:t>《内蒙古自治区根河市满归面包山多金属矿普查2025 年度实施方案》三、工程出包方案：本项目年度工作由六公司组织实施，不涉及对外分包事项，其中钻探施工、样品测试、工程点测量由内部协作单位组织完成。钻探施工由呼伦贝尔市盛佳工程勘察有限责任公司实施，按内部协议价格结算，机械岩芯钻探(岩石VIⅧ级,0~500m)450元/米，基岩浅钻(0-20m)150元/米，预估费用共计97.50 万元。</w:t>
      </w:r>
    </w:p>
    <w:p w14:paraId="3DC5AFB5">
      <w:pPr>
        <w:pStyle w:val="10"/>
        <w:rPr>
          <w:rFonts w:hint="eastAsi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jMGRlZjUxYzk1MDA0ZTMwMTBlZmEyMTI1NDc1ZWMifQ=="/>
  </w:docVars>
  <w:rsids>
    <w:rsidRoot w:val="00000000"/>
    <w:rsid w:val="004B2B21"/>
    <w:rsid w:val="004E43BF"/>
    <w:rsid w:val="007402CA"/>
    <w:rsid w:val="008E095A"/>
    <w:rsid w:val="00AA2BE4"/>
    <w:rsid w:val="00B406C6"/>
    <w:rsid w:val="00BD37E0"/>
    <w:rsid w:val="00BE7797"/>
    <w:rsid w:val="00D42B17"/>
    <w:rsid w:val="00D73348"/>
    <w:rsid w:val="010D7DD7"/>
    <w:rsid w:val="012B4701"/>
    <w:rsid w:val="01396E1E"/>
    <w:rsid w:val="013E61E2"/>
    <w:rsid w:val="014832FB"/>
    <w:rsid w:val="01537787"/>
    <w:rsid w:val="015772A4"/>
    <w:rsid w:val="017240DE"/>
    <w:rsid w:val="017716F4"/>
    <w:rsid w:val="018856AF"/>
    <w:rsid w:val="01B464A4"/>
    <w:rsid w:val="01DD1C4C"/>
    <w:rsid w:val="0200793B"/>
    <w:rsid w:val="020531A4"/>
    <w:rsid w:val="02570457"/>
    <w:rsid w:val="025F603E"/>
    <w:rsid w:val="026C54AF"/>
    <w:rsid w:val="02720839"/>
    <w:rsid w:val="029A1B3E"/>
    <w:rsid w:val="02B86FC3"/>
    <w:rsid w:val="02B90464"/>
    <w:rsid w:val="02C62933"/>
    <w:rsid w:val="02CD1F13"/>
    <w:rsid w:val="02F40332"/>
    <w:rsid w:val="03141D93"/>
    <w:rsid w:val="033C218E"/>
    <w:rsid w:val="03633EEE"/>
    <w:rsid w:val="036363D4"/>
    <w:rsid w:val="036D2DAF"/>
    <w:rsid w:val="0371289F"/>
    <w:rsid w:val="03AF1619"/>
    <w:rsid w:val="03C055D4"/>
    <w:rsid w:val="03F2214F"/>
    <w:rsid w:val="040E4592"/>
    <w:rsid w:val="04133956"/>
    <w:rsid w:val="04152F79"/>
    <w:rsid w:val="041F3E95"/>
    <w:rsid w:val="04377EEB"/>
    <w:rsid w:val="04390EE3"/>
    <w:rsid w:val="043A1ADB"/>
    <w:rsid w:val="043B4C5B"/>
    <w:rsid w:val="044C27AC"/>
    <w:rsid w:val="046C3066"/>
    <w:rsid w:val="047C53D9"/>
    <w:rsid w:val="048900BC"/>
    <w:rsid w:val="04912ACD"/>
    <w:rsid w:val="049B394B"/>
    <w:rsid w:val="04A171B4"/>
    <w:rsid w:val="04BD38C2"/>
    <w:rsid w:val="04DA26C6"/>
    <w:rsid w:val="04E020E3"/>
    <w:rsid w:val="04E62478"/>
    <w:rsid w:val="04EF43C3"/>
    <w:rsid w:val="04FE63B4"/>
    <w:rsid w:val="05080FE1"/>
    <w:rsid w:val="051C2CDE"/>
    <w:rsid w:val="0553598E"/>
    <w:rsid w:val="055424AA"/>
    <w:rsid w:val="0558559A"/>
    <w:rsid w:val="057E12A3"/>
    <w:rsid w:val="059E36F3"/>
    <w:rsid w:val="059F270B"/>
    <w:rsid w:val="05AA5389"/>
    <w:rsid w:val="05AB66E6"/>
    <w:rsid w:val="05B44CC5"/>
    <w:rsid w:val="05BF3D69"/>
    <w:rsid w:val="05D03B7D"/>
    <w:rsid w:val="05E41A4E"/>
    <w:rsid w:val="05FF020A"/>
    <w:rsid w:val="06023E3E"/>
    <w:rsid w:val="06154876"/>
    <w:rsid w:val="062260D2"/>
    <w:rsid w:val="06383B48"/>
    <w:rsid w:val="0648365F"/>
    <w:rsid w:val="065D35AE"/>
    <w:rsid w:val="066C559F"/>
    <w:rsid w:val="066E1317"/>
    <w:rsid w:val="06734B80"/>
    <w:rsid w:val="06B34F7C"/>
    <w:rsid w:val="06B37672"/>
    <w:rsid w:val="06C53D71"/>
    <w:rsid w:val="06E53799"/>
    <w:rsid w:val="070B6B66"/>
    <w:rsid w:val="07250874"/>
    <w:rsid w:val="07322345"/>
    <w:rsid w:val="07350087"/>
    <w:rsid w:val="074F739B"/>
    <w:rsid w:val="076A5EA5"/>
    <w:rsid w:val="076D5A73"/>
    <w:rsid w:val="07790AFB"/>
    <w:rsid w:val="077A1F3E"/>
    <w:rsid w:val="07861AA3"/>
    <w:rsid w:val="078F7797"/>
    <w:rsid w:val="079254DA"/>
    <w:rsid w:val="079B25E0"/>
    <w:rsid w:val="07AD2313"/>
    <w:rsid w:val="07C35693"/>
    <w:rsid w:val="07E54B4A"/>
    <w:rsid w:val="07F46640"/>
    <w:rsid w:val="07FC0C29"/>
    <w:rsid w:val="08017F69"/>
    <w:rsid w:val="0822060B"/>
    <w:rsid w:val="0865674A"/>
    <w:rsid w:val="08776256"/>
    <w:rsid w:val="088210AA"/>
    <w:rsid w:val="08892439"/>
    <w:rsid w:val="08986B20"/>
    <w:rsid w:val="089B216C"/>
    <w:rsid w:val="08C16076"/>
    <w:rsid w:val="08DD2DB5"/>
    <w:rsid w:val="08E60796"/>
    <w:rsid w:val="08FD6983"/>
    <w:rsid w:val="090A6823"/>
    <w:rsid w:val="092263E9"/>
    <w:rsid w:val="092D5890"/>
    <w:rsid w:val="0966277A"/>
    <w:rsid w:val="096B1B3E"/>
    <w:rsid w:val="097E5D15"/>
    <w:rsid w:val="098B21E0"/>
    <w:rsid w:val="09AF5ECF"/>
    <w:rsid w:val="09C0632E"/>
    <w:rsid w:val="09DA6CC4"/>
    <w:rsid w:val="09ED2E9B"/>
    <w:rsid w:val="09ED69F7"/>
    <w:rsid w:val="09F51546"/>
    <w:rsid w:val="0A0A1357"/>
    <w:rsid w:val="0A101F9D"/>
    <w:rsid w:val="0A344E9F"/>
    <w:rsid w:val="0A4505E1"/>
    <w:rsid w:val="0A467B28"/>
    <w:rsid w:val="0A6805F9"/>
    <w:rsid w:val="0A6842D0"/>
    <w:rsid w:val="0A7B4003"/>
    <w:rsid w:val="0A8235E3"/>
    <w:rsid w:val="0A8C7FBE"/>
    <w:rsid w:val="0A9B5D0A"/>
    <w:rsid w:val="0AA438A7"/>
    <w:rsid w:val="0AB80DB3"/>
    <w:rsid w:val="0ABD0ABF"/>
    <w:rsid w:val="0AC16E65"/>
    <w:rsid w:val="0ADD2F10"/>
    <w:rsid w:val="0AF50259"/>
    <w:rsid w:val="0AF53DB5"/>
    <w:rsid w:val="0AFA5870"/>
    <w:rsid w:val="0B056B21"/>
    <w:rsid w:val="0B057D70"/>
    <w:rsid w:val="0B304DED"/>
    <w:rsid w:val="0B3348DE"/>
    <w:rsid w:val="0B354AFA"/>
    <w:rsid w:val="0B462863"/>
    <w:rsid w:val="0B57681E"/>
    <w:rsid w:val="0B6131F9"/>
    <w:rsid w:val="0B695303"/>
    <w:rsid w:val="0B714123"/>
    <w:rsid w:val="0B7C0033"/>
    <w:rsid w:val="0B84338B"/>
    <w:rsid w:val="0B925AA8"/>
    <w:rsid w:val="0B945133"/>
    <w:rsid w:val="0B9C06D5"/>
    <w:rsid w:val="0BA36C91"/>
    <w:rsid w:val="0BAD1BD9"/>
    <w:rsid w:val="0BAE21B6"/>
    <w:rsid w:val="0BB377CC"/>
    <w:rsid w:val="0BC55E7E"/>
    <w:rsid w:val="0BE86122"/>
    <w:rsid w:val="0BEC1B33"/>
    <w:rsid w:val="0BEC3448"/>
    <w:rsid w:val="0C1200A3"/>
    <w:rsid w:val="0C264FB2"/>
    <w:rsid w:val="0C34090D"/>
    <w:rsid w:val="0C41302A"/>
    <w:rsid w:val="0C4D7C21"/>
    <w:rsid w:val="0C767178"/>
    <w:rsid w:val="0C803B53"/>
    <w:rsid w:val="0C832A07"/>
    <w:rsid w:val="0CA70E52"/>
    <w:rsid w:val="0CDA0227"/>
    <w:rsid w:val="0CF227E1"/>
    <w:rsid w:val="0CF958DA"/>
    <w:rsid w:val="0D074274"/>
    <w:rsid w:val="0D091D9A"/>
    <w:rsid w:val="0D0D3811"/>
    <w:rsid w:val="0D1349C7"/>
    <w:rsid w:val="0D204354"/>
    <w:rsid w:val="0D411534"/>
    <w:rsid w:val="0D510495"/>
    <w:rsid w:val="0D5F73BD"/>
    <w:rsid w:val="0D67410D"/>
    <w:rsid w:val="0DA13FA7"/>
    <w:rsid w:val="0DB5782C"/>
    <w:rsid w:val="0DC664D3"/>
    <w:rsid w:val="0DE84CBF"/>
    <w:rsid w:val="0DFA5B87"/>
    <w:rsid w:val="0DFC36AD"/>
    <w:rsid w:val="0DFE6502"/>
    <w:rsid w:val="0E0367E9"/>
    <w:rsid w:val="0E407A3D"/>
    <w:rsid w:val="0E5C414B"/>
    <w:rsid w:val="0E6A4ABA"/>
    <w:rsid w:val="0EAC08BC"/>
    <w:rsid w:val="0EB36461"/>
    <w:rsid w:val="0EBE4E06"/>
    <w:rsid w:val="0ED4462A"/>
    <w:rsid w:val="0EDD528C"/>
    <w:rsid w:val="0F360E40"/>
    <w:rsid w:val="0F4B48EC"/>
    <w:rsid w:val="0F5B34BA"/>
    <w:rsid w:val="0F5F2145"/>
    <w:rsid w:val="0F601A19"/>
    <w:rsid w:val="0F6459AD"/>
    <w:rsid w:val="0FC226D4"/>
    <w:rsid w:val="0FDB38DC"/>
    <w:rsid w:val="0FE17471"/>
    <w:rsid w:val="0FF02D9D"/>
    <w:rsid w:val="0FFE195E"/>
    <w:rsid w:val="100131FC"/>
    <w:rsid w:val="10090303"/>
    <w:rsid w:val="103E61FE"/>
    <w:rsid w:val="104C4CB3"/>
    <w:rsid w:val="106731B0"/>
    <w:rsid w:val="10863702"/>
    <w:rsid w:val="109D0E1E"/>
    <w:rsid w:val="10A940F9"/>
    <w:rsid w:val="10D10E21"/>
    <w:rsid w:val="10DC1574"/>
    <w:rsid w:val="10E36DA6"/>
    <w:rsid w:val="110F27D0"/>
    <w:rsid w:val="112E16B9"/>
    <w:rsid w:val="1145536B"/>
    <w:rsid w:val="1146404D"/>
    <w:rsid w:val="11841CE7"/>
    <w:rsid w:val="11986C37"/>
    <w:rsid w:val="11BF511D"/>
    <w:rsid w:val="11C41268"/>
    <w:rsid w:val="12004606"/>
    <w:rsid w:val="120B3EBE"/>
    <w:rsid w:val="12301B77"/>
    <w:rsid w:val="12492C39"/>
    <w:rsid w:val="12514449"/>
    <w:rsid w:val="126857B5"/>
    <w:rsid w:val="12775F94"/>
    <w:rsid w:val="128E689D"/>
    <w:rsid w:val="129742D9"/>
    <w:rsid w:val="12A165D1"/>
    <w:rsid w:val="12A3585A"/>
    <w:rsid w:val="12D746E8"/>
    <w:rsid w:val="12DB5F87"/>
    <w:rsid w:val="12DD2F92"/>
    <w:rsid w:val="12EB3CF0"/>
    <w:rsid w:val="12EB6199"/>
    <w:rsid w:val="13180F89"/>
    <w:rsid w:val="13182D37"/>
    <w:rsid w:val="13277754"/>
    <w:rsid w:val="133B07D3"/>
    <w:rsid w:val="134F24D1"/>
    <w:rsid w:val="13653AA2"/>
    <w:rsid w:val="13C30AE2"/>
    <w:rsid w:val="13DC1110"/>
    <w:rsid w:val="13DD5D2E"/>
    <w:rsid w:val="13E946D3"/>
    <w:rsid w:val="13EF0E75"/>
    <w:rsid w:val="141554C8"/>
    <w:rsid w:val="143376FC"/>
    <w:rsid w:val="14435ECB"/>
    <w:rsid w:val="146B6E96"/>
    <w:rsid w:val="147C72F5"/>
    <w:rsid w:val="148F18DD"/>
    <w:rsid w:val="14A21959"/>
    <w:rsid w:val="14A32948"/>
    <w:rsid w:val="14BB5F83"/>
    <w:rsid w:val="14BC1DE8"/>
    <w:rsid w:val="14BE16BC"/>
    <w:rsid w:val="14E1184E"/>
    <w:rsid w:val="14E37374"/>
    <w:rsid w:val="14E629C1"/>
    <w:rsid w:val="14E86739"/>
    <w:rsid w:val="14F21366"/>
    <w:rsid w:val="155C15CE"/>
    <w:rsid w:val="15BB3E4D"/>
    <w:rsid w:val="15F134B4"/>
    <w:rsid w:val="1609105D"/>
    <w:rsid w:val="16111CBF"/>
    <w:rsid w:val="161812A0"/>
    <w:rsid w:val="163F05DA"/>
    <w:rsid w:val="16493207"/>
    <w:rsid w:val="1663076D"/>
    <w:rsid w:val="1666025D"/>
    <w:rsid w:val="167A5AB7"/>
    <w:rsid w:val="16893F4C"/>
    <w:rsid w:val="16966B59"/>
    <w:rsid w:val="16985F3D"/>
    <w:rsid w:val="169D3553"/>
    <w:rsid w:val="169E4D10"/>
    <w:rsid w:val="16A923E8"/>
    <w:rsid w:val="16B5089D"/>
    <w:rsid w:val="16BC60CF"/>
    <w:rsid w:val="16C1055C"/>
    <w:rsid w:val="16CD3E38"/>
    <w:rsid w:val="16D36F75"/>
    <w:rsid w:val="16DF3B6C"/>
    <w:rsid w:val="16EB2510"/>
    <w:rsid w:val="16F91B62"/>
    <w:rsid w:val="171E0023"/>
    <w:rsid w:val="175037C7"/>
    <w:rsid w:val="17637BB0"/>
    <w:rsid w:val="1767603B"/>
    <w:rsid w:val="176E4D31"/>
    <w:rsid w:val="179D7CAF"/>
    <w:rsid w:val="17A75568"/>
    <w:rsid w:val="17AC6144"/>
    <w:rsid w:val="17AF1520"/>
    <w:rsid w:val="1832094E"/>
    <w:rsid w:val="190873AA"/>
    <w:rsid w:val="19265A82"/>
    <w:rsid w:val="193006AE"/>
    <w:rsid w:val="1944515C"/>
    <w:rsid w:val="194A79C2"/>
    <w:rsid w:val="196A0064"/>
    <w:rsid w:val="196B7938"/>
    <w:rsid w:val="19706CFD"/>
    <w:rsid w:val="19AC242B"/>
    <w:rsid w:val="19C92BD5"/>
    <w:rsid w:val="19EB7292"/>
    <w:rsid w:val="19F811CC"/>
    <w:rsid w:val="1A241A43"/>
    <w:rsid w:val="1A50725A"/>
    <w:rsid w:val="1A5D54D3"/>
    <w:rsid w:val="1A8011C2"/>
    <w:rsid w:val="1A8B7555"/>
    <w:rsid w:val="1AA43102"/>
    <w:rsid w:val="1AA66E7A"/>
    <w:rsid w:val="1ACD2659"/>
    <w:rsid w:val="1B12117D"/>
    <w:rsid w:val="1B147C57"/>
    <w:rsid w:val="1B193AF0"/>
    <w:rsid w:val="1B19589E"/>
    <w:rsid w:val="1B487F31"/>
    <w:rsid w:val="1B944F25"/>
    <w:rsid w:val="1B972C67"/>
    <w:rsid w:val="1BA84E74"/>
    <w:rsid w:val="1BAA62E3"/>
    <w:rsid w:val="1BB90559"/>
    <w:rsid w:val="1BBD091F"/>
    <w:rsid w:val="1BCC0B62"/>
    <w:rsid w:val="1BD73063"/>
    <w:rsid w:val="1BE340FE"/>
    <w:rsid w:val="1BF63E31"/>
    <w:rsid w:val="1BFE6842"/>
    <w:rsid w:val="1C2776CE"/>
    <w:rsid w:val="1C5D5C5E"/>
    <w:rsid w:val="1C722616"/>
    <w:rsid w:val="1C813BF6"/>
    <w:rsid w:val="1C8C20A0"/>
    <w:rsid w:val="1CAC2742"/>
    <w:rsid w:val="1CBA5BF8"/>
    <w:rsid w:val="1CE52725"/>
    <w:rsid w:val="1CEE4B08"/>
    <w:rsid w:val="1D04432C"/>
    <w:rsid w:val="1D350989"/>
    <w:rsid w:val="1D3E2C82"/>
    <w:rsid w:val="1D3F7112"/>
    <w:rsid w:val="1D4B1F5B"/>
    <w:rsid w:val="1D890952"/>
    <w:rsid w:val="1DA530EA"/>
    <w:rsid w:val="1DC00253"/>
    <w:rsid w:val="1E195BB5"/>
    <w:rsid w:val="1E285DF8"/>
    <w:rsid w:val="1E2D1660"/>
    <w:rsid w:val="1ECE7F0E"/>
    <w:rsid w:val="1ED02718"/>
    <w:rsid w:val="1EFB10F2"/>
    <w:rsid w:val="1F086793"/>
    <w:rsid w:val="1F2111C5"/>
    <w:rsid w:val="1F6A2B6C"/>
    <w:rsid w:val="1F7A2683"/>
    <w:rsid w:val="1F8B2AE2"/>
    <w:rsid w:val="1F900712"/>
    <w:rsid w:val="1F927284"/>
    <w:rsid w:val="1F9F033C"/>
    <w:rsid w:val="1FA37E2C"/>
    <w:rsid w:val="1FAE4B27"/>
    <w:rsid w:val="1FC57DA2"/>
    <w:rsid w:val="1FD61FB0"/>
    <w:rsid w:val="1FD71884"/>
    <w:rsid w:val="1FE40369"/>
    <w:rsid w:val="1FF316C5"/>
    <w:rsid w:val="1FFE07E1"/>
    <w:rsid w:val="202A22FB"/>
    <w:rsid w:val="203B1E13"/>
    <w:rsid w:val="204038CD"/>
    <w:rsid w:val="207B3E05"/>
    <w:rsid w:val="20827A42"/>
    <w:rsid w:val="208C0D44"/>
    <w:rsid w:val="20923DE0"/>
    <w:rsid w:val="209A10BB"/>
    <w:rsid w:val="20B736CD"/>
    <w:rsid w:val="20C64644"/>
    <w:rsid w:val="20E50D7C"/>
    <w:rsid w:val="20F87D04"/>
    <w:rsid w:val="21050034"/>
    <w:rsid w:val="210E5779"/>
    <w:rsid w:val="211C60E8"/>
    <w:rsid w:val="213F584E"/>
    <w:rsid w:val="2149055F"/>
    <w:rsid w:val="215533A8"/>
    <w:rsid w:val="217575A6"/>
    <w:rsid w:val="21775AB6"/>
    <w:rsid w:val="217967C6"/>
    <w:rsid w:val="2183765C"/>
    <w:rsid w:val="21A734D8"/>
    <w:rsid w:val="21B728BC"/>
    <w:rsid w:val="21BE58C0"/>
    <w:rsid w:val="21FE40A6"/>
    <w:rsid w:val="21FF52E9"/>
    <w:rsid w:val="220B3A67"/>
    <w:rsid w:val="221E0FB2"/>
    <w:rsid w:val="22205764"/>
    <w:rsid w:val="222A508E"/>
    <w:rsid w:val="22327245"/>
    <w:rsid w:val="2288155B"/>
    <w:rsid w:val="228F28EA"/>
    <w:rsid w:val="22943A5C"/>
    <w:rsid w:val="229D6DB5"/>
    <w:rsid w:val="22B660E8"/>
    <w:rsid w:val="22D14CB0"/>
    <w:rsid w:val="22D36C7A"/>
    <w:rsid w:val="22DA1628"/>
    <w:rsid w:val="22F34C27"/>
    <w:rsid w:val="23241284"/>
    <w:rsid w:val="233D2346"/>
    <w:rsid w:val="23531B69"/>
    <w:rsid w:val="235D6544"/>
    <w:rsid w:val="236C603E"/>
    <w:rsid w:val="236D2C2B"/>
    <w:rsid w:val="2372726B"/>
    <w:rsid w:val="237D2742"/>
    <w:rsid w:val="238166D6"/>
    <w:rsid w:val="23963804"/>
    <w:rsid w:val="23B048C6"/>
    <w:rsid w:val="23B343B6"/>
    <w:rsid w:val="23CC3C8A"/>
    <w:rsid w:val="23D41B28"/>
    <w:rsid w:val="23D83E1C"/>
    <w:rsid w:val="23E26A49"/>
    <w:rsid w:val="23F01166"/>
    <w:rsid w:val="23F74798"/>
    <w:rsid w:val="241C01AD"/>
    <w:rsid w:val="241F1A4B"/>
    <w:rsid w:val="2421502A"/>
    <w:rsid w:val="242B219E"/>
    <w:rsid w:val="24303C58"/>
    <w:rsid w:val="24477585"/>
    <w:rsid w:val="244A09D9"/>
    <w:rsid w:val="244B0A92"/>
    <w:rsid w:val="244F22A5"/>
    <w:rsid w:val="24547947"/>
    <w:rsid w:val="24612064"/>
    <w:rsid w:val="246A1453"/>
    <w:rsid w:val="24765B0F"/>
    <w:rsid w:val="24861ACA"/>
    <w:rsid w:val="24994F01"/>
    <w:rsid w:val="24A37C1B"/>
    <w:rsid w:val="24A73F1B"/>
    <w:rsid w:val="24CC0B7B"/>
    <w:rsid w:val="24F164AA"/>
    <w:rsid w:val="24FA6740"/>
    <w:rsid w:val="25096983"/>
    <w:rsid w:val="25203A2E"/>
    <w:rsid w:val="25224907"/>
    <w:rsid w:val="25557039"/>
    <w:rsid w:val="258E0C37"/>
    <w:rsid w:val="25981324"/>
    <w:rsid w:val="25B508B9"/>
    <w:rsid w:val="25D428E5"/>
    <w:rsid w:val="25DC465F"/>
    <w:rsid w:val="25EB42DB"/>
    <w:rsid w:val="260158AC"/>
    <w:rsid w:val="26072B40"/>
    <w:rsid w:val="261704E3"/>
    <w:rsid w:val="26174D17"/>
    <w:rsid w:val="26361D8C"/>
    <w:rsid w:val="264659B5"/>
    <w:rsid w:val="265D0CE4"/>
    <w:rsid w:val="267047E0"/>
    <w:rsid w:val="26707D8E"/>
    <w:rsid w:val="26B75F6B"/>
    <w:rsid w:val="26D25530"/>
    <w:rsid w:val="26D46B1D"/>
    <w:rsid w:val="26FD42C6"/>
    <w:rsid w:val="26FE003E"/>
    <w:rsid w:val="27182EAE"/>
    <w:rsid w:val="271E248E"/>
    <w:rsid w:val="272B4E9E"/>
    <w:rsid w:val="274F43F6"/>
    <w:rsid w:val="275163C0"/>
    <w:rsid w:val="277033D9"/>
    <w:rsid w:val="27882940"/>
    <w:rsid w:val="278B7B24"/>
    <w:rsid w:val="27976A24"/>
    <w:rsid w:val="27A97FAA"/>
    <w:rsid w:val="27B5694E"/>
    <w:rsid w:val="27D50D9F"/>
    <w:rsid w:val="27E45486"/>
    <w:rsid w:val="27EB13D0"/>
    <w:rsid w:val="28481571"/>
    <w:rsid w:val="285266F0"/>
    <w:rsid w:val="29064F88"/>
    <w:rsid w:val="291E4F61"/>
    <w:rsid w:val="29363ABF"/>
    <w:rsid w:val="293E0BC6"/>
    <w:rsid w:val="29475CCC"/>
    <w:rsid w:val="29491A44"/>
    <w:rsid w:val="294C32E2"/>
    <w:rsid w:val="295403E9"/>
    <w:rsid w:val="29802F8C"/>
    <w:rsid w:val="298C22CD"/>
    <w:rsid w:val="29915199"/>
    <w:rsid w:val="29946A38"/>
    <w:rsid w:val="29A24CB1"/>
    <w:rsid w:val="29BA5BD3"/>
    <w:rsid w:val="29BF1D06"/>
    <w:rsid w:val="29C27101"/>
    <w:rsid w:val="29C410CB"/>
    <w:rsid w:val="29D62BAC"/>
    <w:rsid w:val="2A0A4A5C"/>
    <w:rsid w:val="2A102562"/>
    <w:rsid w:val="2A13795C"/>
    <w:rsid w:val="2A224043"/>
    <w:rsid w:val="2A3F4E9E"/>
    <w:rsid w:val="2A602AE0"/>
    <w:rsid w:val="2A687613"/>
    <w:rsid w:val="2A952A67"/>
    <w:rsid w:val="2AA35AF7"/>
    <w:rsid w:val="2AE8703B"/>
    <w:rsid w:val="2AF05827"/>
    <w:rsid w:val="2AFB4FC0"/>
    <w:rsid w:val="2B275BBC"/>
    <w:rsid w:val="2B3F1304"/>
    <w:rsid w:val="2B400C25"/>
    <w:rsid w:val="2B4610B0"/>
    <w:rsid w:val="2B65068C"/>
    <w:rsid w:val="2B6C1A1A"/>
    <w:rsid w:val="2B6D12EE"/>
    <w:rsid w:val="2B797C93"/>
    <w:rsid w:val="2B822FEC"/>
    <w:rsid w:val="2B836D64"/>
    <w:rsid w:val="2B913FEF"/>
    <w:rsid w:val="2B9E39CC"/>
    <w:rsid w:val="2BA03472"/>
    <w:rsid w:val="2BB84C5F"/>
    <w:rsid w:val="2BE960E3"/>
    <w:rsid w:val="2BF717A8"/>
    <w:rsid w:val="2C226825"/>
    <w:rsid w:val="2C493B09"/>
    <w:rsid w:val="2C5000EA"/>
    <w:rsid w:val="2C5807EC"/>
    <w:rsid w:val="2C630D27"/>
    <w:rsid w:val="2C6A0C57"/>
    <w:rsid w:val="2C772424"/>
    <w:rsid w:val="2C816F5F"/>
    <w:rsid w:val="2C8965FC"/>
    <w:rsid w:val="2C91241A"/>
    <w:rsid w:val="2C9F3729"/>
    <w:rsid w:val="2CA60F5C"/>
    <w:rsid w:val="2CAB47C4"/>
    <w:rsid w:val="2CAD6FFC"/>
    <w:rsid w:val="2CBE2DC2"/>
    <w:rsid w:val="2CCA2E9C"/>
    <w:rsid w:val="2CE101E6"/>
    <w:rsid w:val="2D03015C"/>
    <w:rsid w:val="2D200D0E"/>
    <w:rsid w:val="2D285E15"/>
    <w:rsid w:val="2D3E1194"/>
    <w:rsid w:val="2D5165BD"/>
    <w:rsid w:val="2D7E3C87"/>
    <w:rsid w:val="2DA51213"/>
    <w:rsid w:val="2DB41456"/>
    <w:rsid w:val="2DB60AD7"/>
    <w:rsid w:val="2DC7118A"/>
    <w:rsid w:val="2DCA1898"/>
    <w:rsid w:val="2DD958C1"/>
    <w:rsid w:val="2DDB69E3"/>
    <w:rsid w:val="2DDD02F9"/>
    <w:rsid w:val="2DDE258B"/>
    <w:rsid w:val="2DF62B81"/>
    <w:rsid w:val="2E00469C"/>
    <w:rsid w:val="2E103B46"/>
    <w:rsid w:val="2E1168A9"/>
    <w:rsid w:val="2E291AB4"/>
    <w:rsid w:val="2E3B6CEB"/>
    <w:rsid w:val="2E3D6BAE"/>
    <w:rsid w:val="2E4B1DBB"/>
    <w:rsid w:val="2E626588"/>
    <w:rsid w:val="2E7D0FCF"/>
    <w:rsid w:val="2E8928E3"/>
    <w:rsid w:val="2E905A1F"/>
    <w:rsid w:val="2EA37FD8"/>
    <w:rsid w:val="2EAB4607"/>
    <w:rsid w:val="2ED13DF2"/>
    <w:rsid w:val="2ED90548"/>
    <w:rsid w:val="2EDE6C4E"/>
    <w:rsid w:val="2EF86311"/>
    <w:rsid w:val="2EF91D18"/>
    <w:rsid w:val="2F2B399A"/>
    <w:rsid w:val="2F3D689C"/>
    <w:rsid w:val="2F430CE4"/>
    <w:rsid w:val="2F566C69"/>
    <w:rsid w:val="2F6B2929"/>
    <w:rsid w:val="2F7013AD"/>
    <w:rsid w:val="2F896863"/>
    <w:rsid w:val="2FAC6889"/>
    <w:rsid w:val="2FCC6F2B"/>
    <w:rsid w:val="2FCE2CA3"/>
    <w:rsid w:val="2FD951A4"/>
    <w:rsid w:val="2FF02B05"/>
    <w:rsid w:val="2FF5016D"/>
    <w:rsid w:val="30004E27"/>
    <w:rsid w:val="300D1310"/>
    <w:rsid w:val="301D7787"/>
    <w:rsid w:val="30662EDC"/>
    <w:rsid w:val="306C3CA2"/>
    <w:rsid w:val="306C7DC6"/>
    <w:rsid w:val="30A25EDE"/>
    <w:rsid w:val="30A532D8"/>
    <w:rsid w:val="30B157C1"/>
    <w:rsid w:val="30E43086"/>
    <w:rsid w:val="30F17DE4"/>
    <w:rsid w:val="310149B3"/>
    <w:rsid w:val="310B75DF"/>
    <w:rsid w:val="31197F4E"/>
    <w:rsid w:val="31215055"/>
    <w:rsid w:val="31216E03"/>
    <w:rsid w:val="313E5C07"/>
    <w:rsid w:val="31490108"/>
    <w:rsid w:val="315155D2"/>
    <w:rsid w:val="31554CFE"/>
    <w:rsid w:val="31605B7D"/>
    <w:rsid w:val="31750EFD"/>
    <w:rsid w:val="3175714F"/>
    <w:rsid w:val="31845AF8"/>
    <w:rsid w:val="31945827"/>
    <w:rsid w:val="31A74462"/>
    <w:rsid w:val="31B5579D"/>
    <w:rsid w:val="31BB1005"/>
    <w:rsid w:val="31D04385"/>
    <w:rsid w:val="31D245A1"/>
    <w:rsid w:val="31D75713"/>
    <w:rsid w:val="31FB3AF8"/>
    <w:rsid w:val="31FD161E"/>
    <w:rsid w:val="32166463"/>
    <w:rsid w:val="32171FB4"/>
    <w:rsid w:val="3221381C"/>
    <w:rsid w:val="322748ED"/>
    <w:rsid w:val="32560D2E"/>
    <w:rsid w:val="32562ADC"/>
    <w:rsid w:val="326F5ABD"/>
    <w:rsid w:val="327F64D7"/>
    <w:rsid w:val="32850936"/>
    <w:rsid w:val="329F4483"/>
    <w:rsid w:val="32DA370D"/>
    <w:rsid w:val="32EC4290"/>
    <w:rsid w:val="3347112D"/>
    <w:rsid w:val="334B0167"/>
    <w:rsid w:val="33B65F28"/>
    <w:rsid w:val="33B92995"/>
    <w:rsid w:val="33BF2DE6"/>
    <w:rsid w:val="33C10650"/>
    <w:rsid w:val="33CA3782"/>
    <w:rsid w:val="33DE722D"/>
    <w:rsid w:val="33E12879"/>
    <w:rsid w:val="33ED7470"/>
    <w:rsid w:val="33F26834"/>
    <w:rsid w:val="33FB117E"/>
    <w:rsid w:val="34125129"/>
    <w:rsid w:val="34126ED7"/>
    <w:rsid w:val="34222274"/>
    <w:rsid w:val="342F0BF2"/>
    <w:rsid w:val="344C4197"/>
    <w:rsid w:val="345D45F6"/>
    <w:rsid w:val="345F386B"/>
    <w:rsid w:val="34670FD0"/>
    <w:rsid w:val="346818AF"/>
    <w:rsid w:val="346F4329"/>
    <w:rsid w:val="349618B6"/>
    <w:rsid w:val="34B87A7E"/>
    <w:rsid w:val="34BB30CA"/>
    <w:rsid w:val="34BC6097"/>
    <w:rsid w:val="34DB140D"/>
    <w:rsid w:val="350C71EE"/>
    <w:rsid w:val="351824F2"/>
    <w:rsid w:val="35702107"/>
    <w:rsid w:val="358856A2"/>
    <w:rsid w:val="35A51F81"/>
    <w:rsid w:val="35AB19EE"/>
    <w:rsid w:val="35D54660"/>
    <w:rsid w:val="35E13004"/>
    <w:rsid w:val="35E6061B"/>
    <w:rsid w:val="36140CE4"/>
    <w:rsid w:val="36483084"/>
    <w:rsid w:val="368E7B8A"/>
    <w:rsid w:val="36963DEF"/>
    <w:rsid w:val="370C5E5F"/>
    <w:rsid w:val="37364C71"/>
    <w:rsid w:val="37426BA0"/>
    <w:rsid w:val="37427DC5"/>
    <w:rsid w:val="37A335A3"/>
    <w:rsid w:val="37A662B4"/>
    <w:rsid w:val="37B81B43"/>
    <w:rsid w:val="37FE7E9E"/>
    <w:rsid w:val="38063026"/>
    <w:rsid w:val="3822505C"/>
    <w:rsid w:val="382947EF"/>
    <w:rsid w:val="38507885"/>
    <w:rsid w:val="38561A88"/>
    <w:rsid w:val="3857135C"/>
    <w:rsid w:val="389B393F"/>
    <w:rsid w:val="38CF35E8"/>
    <w:rsid w:val="38F8669B"/>
    <w:rsid w:val="38FC7F61"/>
    <w:rsid w:val="39070FD4"/>
    <w:rsid w:val="392C27E9"/>
    <w:rsid w:val="394A2C6F"/>
    <w:rsid w:val="396A180B"/>
    <w:rsid w:val="396E4BAF"/>
    <w:rsid w:val="3986014B"/>
    <w:rsid w:val="398D1249"/>
    <w:rsid w:val="39985E86"/>
    <w:rsid w:val="39AB0165"/>
    <w:rsid w:val="39C817AE"/>
    <w:rsid w:val="39D37108"/>
    <w:rsid w:val="39D51E38"/>
    <w:rsid w:val="39E60BE9"/>
    <w:rsid w:val="3A0A0AC5"/>
    <w:rsid w:val="3A335AF2"/>
    <w:rsid w:val="3A4122C4"/>
    <w:rsid w:val="3A440F69"/>
    <w:rsid w:val="3A54510D"/>
    <w:rsid w:val="3A6C08A2"/>
    <w:rsid w:val="3A946897"/>
    <w:rsid w:val="3A9C399E"/>
    <w:rsid w:val="3AA27CC5"/>
    <w:rsid w:val="3AB65023"/>
    <w:rsid w:val="3AB92925"/>
    <w:rsid w:val="3AC80920"/>
    <w:rsid w:val="3AD4138A"/>
    <w:rsid w:val="3AE3337B"/>
    <w:rsid w:val="3B0130B8"/>
    <w:rsid w:val="3B073A12"/>
    <w:rsid w:val="3B1B0D67"/>
    <w:rsid w:val="3B20637D"/>
    <w:rsid w:val="3B455DE4"/>
    <w:rsid w:val="3B4E6A46"/>
    <w:rsid w:val="3B4F0A10"/>
    <w:rsid w:val="3B585B17"/>
    <w:rsid w:val="3B5A7E9A"/>
    <w:rsid w:val="3B9D177C"/>
    <w:rsid w:val="3BA42B0A"/>
    <w:rsid w:val="3BB57A25"/>
    <w:rsid w:val="3BC72EDF"/>
    <w:rsid w:val="3BC767F9"/>
    <w:rsid w:val="3BD66A3C"/>
    <w:rsid w:val="3BD86C58"/>
    <w:rsid w:val="3BE13D5E"/>
    <w:rsid w:val="3C33164D"/>
    <w:rsid w:val="3C7950C6"/>
    <w:rsid w:val="3C834E15"/>
    <w:rsid w:val="3C942B7F"/>
    <w:rsid w:val="3C9E57AB"/>
    <w:rsid w:val="3CAF79B9"/>
    <w:rsid w:val="3CB274A9"/>
    <w:rsid w:val="3CB94393"/>
    <w:rsid w:val="3CF7310E"/>
    <w:rsid w:val="3D14049A"/>
    <w:rsid w:val="3D2A703F"/>
    <w:rsid w:val="3D4520CB"/>
    <w:rsid w:val="3D6A1B31"/>
    <w:rsid w:val="3D70539A"/>
    <w:rsid w:val="3D791D75"/>
    <w:rsid w:val="3D820C29"/>
    <w:rsid w:val="3D9627E7"/>
    <w:rsid w:val="3D991334"/>
    <w:rsid w:val="3DA908AC"/>
    <w:rsid w:val="3DAE1A1E"/>
    <w:rsid w:val="3DDF42CD"/>
    <w:rsid w:val="3DFE0BF8"/>
    <w:rsid w:val="3E265A58"/>
    <w:rsid w:val="3E285C74"/>
    <w:rsid w:val="3E4E3201"/>
    <w:rsid w:val="3E55633E"/>
    <w:rsid w:val="3E5D51F2"/>
    <w:rsid w:val="3E81063A"/>
    <w:rsid w:val="3E862369"/>
    <w:rsid w:val="3ED73651"/>
    <w:rsid w:val="3EE15E23"/>
    <w:rsid w:val="3EF67B21"/>
    <w:rsid w:val="3EFB5137"/>
    <w:rsid w:val="3F010273"/>
    <w:rsid w:val="3F11495A"/>
    <w:rsid w:val="3F25282B"/>
    <w:rsid w:val="3F512FA9"/>
    <w:rsid w:val="3F57FE00"/>
    <w:rsid w:val="3F584337"/>
    <w:rsid w:val="3F6D1149"/>
    <w:rsid w:val="3F724CCD"/>
    <w:rsid w:val="3F7272E2"/>
    <w:rsid w:val="3F8F2C86"/>
    <w:rsid w:val="3F9D000F"/>
    <w:rsid w:val="3F9D61EE"/>
    <w:rsid w:val="3FA4132B"/>
    <w:rsid w:val="3FE628CB"/>
    <w:rsid w:val="3FE756BB"/>
    <w:rsid w:val="3FFA1172"/>
    <w:rsid w:val="3FFF16DD"/>
    <w:rsid w:val="40104C12"/>
    <w:rsid w:val="40316936"/>
    <w:rsid w:val="404623E2"/>
    <w:rsid w:val="407A0206"/>
    <w:rsid w:val="409273D5"/>
    <w:rsid w:val="40A52FF3"/>
    <w:rsid w:val="40C8729B"/>
    <w:rsid w:val="40D75730"/>
    <w:rsid w:val="40E90FBF"/>
    <w:rsid w:val="40EF4827"/>
    <w:rsid w:val="40F90F5B"/>
    <w:rsid w:val="40FE0F0E"/>
    <w:rsid w:val="410F6C78"/>
    <w:rsid w:val="411D2BFD"/>
    <w:rsid w:val="41371AD4"/>
    <w:rsid w:val="413C5593"/>
    <w:rsid w:val="415D5C35"/>
    <w:rsid w:val="416A2100"/>
    <w:rsid w:val="417B430D"/>
    <w:rsid w:val="41807B75"/>
    <w:rsid w:val="41BA35D0"/>
    <w:rsid w:val="41CE03DD"/>
    <w:rsid w:val="41D11DCE"/>
    <w:rsid w:val="41DA54D8"/>
    <w:rsid w:val="41F145CF"/>
    <w:rsid w:val="41F61BE6"/>
    <w:rsid w:val="420267DC"/>
    <w:rsid w:val="422E75D1"/>
    <w:rsid w:val="42462B6D"/>
    <w:rsid w:val="424E37D0"/>
    <w:rsid w:val="42666D6B"/>
    <w:rsid w:val="42756FAE"/>
    <w:rsid w:val="42CC6764"/>
    <w:rsid w:val="42D02437"/>
    <w:rsid w:val="42E66A1F"/>
    <w:rsid w:val="430239C6"/>
    <w:rsid w:val="43454BD3"/>
    <w:rsid w:val="434B0F67"/>
    <w:rsid w:val="43544E16"/>
    <w:rsid w:val="436020D0"/>
    <w:rsid w:val="43615785"/>
    <w:rsid w:val="436A6A33"/>
    <w:rsid w:val="43A049F8"/>
    <w:rsid w:val="43A062AD"/>
    <w:rsid w:val="43AD3C7D"/>
    <w:rsid w:val="43C37B17"/>
    <w:rsid w:val="43C57AC2"/>
    <w:rsid w:val="43D1290A"/>
    <w:rsid w:val="43D30A32"/>
    <w:rsid w:val="43E25291"/>
    <w:rsid w:val="44184095"/>
    <w:rsid w:val="441B7232"/>
    <w:rsid w:val="44315157"/>
    <w:rsid w:val="44650275"/>
    <w:rsid w:val="447102DE"/>
    <w:rsid w:val="449D27EC"/>
    <w:rsid w:val="44AB7301"/>
    <w:rsid w:val="44B90F8C"/>
    <w:rsid w:val="44C63AF1"/>
    <w:rsid w:val="44C662ED"/>
    <w:rsid w:val="44C77869"/>
    <w:rsid w:val="44DA134B"/>
    <w:rsid w:val="44F763A1"/>
    <w:rsid w:val="45201EEE"/>
    <w:rsid w:val="452A0524"/>
    <w:rsid w:val="45460638"/>
    <w:rsid w:val="455B692F"/>
    <w:rsid w:val="45603F46"/>
    <w:rsid w:val="45992FB4"/>
    <w:rsid w:val="459E2251"/>
    <w:rsid w:val="45A71B75"/>
    <w:rsid w:val="45A858ED"/>
    <w:rsid w:val="45AF4585"/>
    <w:rsid w:val="45C2075D"/>
    <w:rsid w:val="45ED3300"/>
    <w:rsid w:val="45F34DBA"/>
    <w:rsid w:val="45F96148"/>
    <w:rsid w:val="45F97E40"/>
    <w:rsid w:val="45FC65DC"/>
    <w:rsid w:val="46024FFD"/>
    <w:rsid w:val="46040D75"/>
    <w:rsid w:val="46181376"/>
    <w:rsid w:val="461F5BAF"/>
    <w:rsid w:val="465B64BB"/>
    <w:rsid w:val="46603AD2"/>
    <w:rsid w:val="4669507C"/>
    <w:rsid w:val="46976615"/>
    <w:rsid w:val="46A64BB8"/>
    <w:rsid w:val="46C67DD9"/>
    <w:rsid w:val="46CA186A"/>
    <w:rsid w:val="46CB53EF"/>
    <w:rsid w:val="46DF533E"/>
    <w:rsid w:val="470B6133"/>
    <w:rsid w:val="4729173D"/>
    <w:rsid w:val="473311E6"/>
    <w:rsid w:val="474F7251"/>
    <w:rsid w:val="47590C4D"/>
    <w:rsid w:val="476475F1"/>
    <w:rsid w:val="478B4B7E"/>
    <w:rsid w:val="47941C85"/>
    <w:rsid w:val="479D0F27"/>
    <w:rsid w:val="479F062A"/>
    <w:rsid w:val="47A53E92"/>
    <w:rsid w:val="47CE7EF2"/>
    <w:rsid w:val="47DB3D58"/>
    <w:rsid w:val="47DF3BBE"/>
    <w:rsid w:val="47F7DBC6"/>
    <w:rsid w:val="48172371"/>
    <w:rsid w:val="481B4154"/>
    <w:rsid w:val="482A3593"/>
    <w:rsid w:val="48684EBF"/>
    <w:rsid w:val="48A51C70"/>
    <w:rsid w:val="48AF55A2"/>
    <w:rsid w:val="48D36094"/>
    <w:rsid w:val="48DD3AFF"/>
    <w:rsid w:val="490B241B"/>
    <w:rsid w:val="491237A9"/>
    <w:rsid w:val="49261002"/>
    <w:rsid w:val="49296D45"/>
    <w:rsid w:val="4933371F"/>
    <w:rsid w:val="49465201"/>
    <w:rsid w:val="49494CF1"/>
    <w:rsid w:val="49535B70"/>
    <w:rsid w:val="495C67D2"/>
    <w:rsid w:val="496164DE"/>
    <w:rsid w:val="497E0E3E"/>
    <w:rsid w:val="498B70B7"/>
    <w:rsid w:val="49916688"/>
    <w:rsid w:val="499C12C5"/>
    <w:rsid w:val="49A55352"/>
    <w:rsid w:val="49A95790"/>
    <w:rsid w:val="49C10D2B"/>
    <w:rsid w:val="49CF169A"/>
    <w:rsid w:val="49EA2030"/>
    <w:rsid w:val="49FC1D63"/>
    <w:rsid w:val="49FF7D34"/>
    <w:rsid w:val="4A0B01F8"/>
    <w:rsid w:val="4A621C86"/>
    <w:rsid w:val="4A7E2C1B"/>
    <w:rsid w:val="4A875AD1"/>
    <w:rsid w:val="4A87796B"/>
    <w:rsid w:val="4AA541A9"/>
    <w:rsid w:val="4AAE5753"/>
    <w:rsid w:val="4AB77066"/>
    <w:rsid w:val="4AC07235"/>
    <w:rsid w:val="4ACA1E61"/>
    <w:rsid w:val="4ACD3857"/>
    <w:rsid w:val="4AD8457E"/>
    <w:rsid w:val="4B052E99"/>
    <w:rsid w:val="4B2257F9"/>
    <w:rsid w:val="4B2C3DDC"/>
    <w:rsid w:val="4B8141DA"/>
    <w:rsid w:val="4B83098E"/>
    <w:rsid w:val="4B8A1D1C"/>
    <w:rsid w:val="4BBA1ED6"/>
    <w:rsid w:val="4BC30D8B"/>
    <w:rsid w:val="4BD05255"/>
    <w:rsid w:val="4BF03B4A"/>
    <w:rsid w:val="4C177328"/>
    <w:rsid w:val="4C2F4672"/>
    <w:rsid w:val="4C312198"/>
    <w:rsid w:val="4C35783B"/>
    <w:rsid w:val="4C365A00"/>
    <w:rsid w:val="4C3C0B3D"/>
    <w:rsid w:val="4C6F2CC0"/>
    <w:rsid w:val="4C8D3147"/>
    <w:rsid w:val="4C9B5863"/>
    <w:rsid w:val="4CAF1809"/>
    <w:rsid w:val="4CAF57B3"/>
    <w:rsid w:val="4CDD40CE"/>
    <w:rsid w:val="4CF60F16"/>
    <w:rsid w:val="4D2B4E39"/>
    <w:rsid w:val="4D6275D6"/>
    <w:rsid w:val="4D87403A"/>
    <w:rsid w:val="4D994499"/>
    <w:rsid w:val="4DB55BCC"/>
    <w:rsid w:val="4DB766CD"/>
    <w:rsid w:val="4DBC1F35"/>
    <w:rsid w:val="4DE4323A"/>
    <w:rsid w:val="4E121B55"/>
    <w:rsid w:val="4E1F4272"/>
    <w:rsid w:val="4E20584E"/>
    <w:rsid w:val="4E47368F"/>
    <w:rsid w:val="4E4F2DA9"/>
    <w:rsid w:val="4EA2112B"/>
    <w:rsid w:val="4EB33338"/>
    <w:rsid w:val="4EC72940"/>
    <w:rsid w:val="4EDD70FD"/>
    <w:rsid w:val="4F041DE6"/>
    <w:rsid w:val="4F082F58"/>
    <w:rsid w:val="4F231B40"/>
    <w:rsid w:val="4F262811"/>
    <w:rsid w:val="4F477F24"/>
    <w:rsid w:val="4F4D3920"/>
    <w:rsid w:val="4F5D5052"/>
    <w:rsid w:val="4F6939F7"/>
    <w:rsid w:val="4F7F9A6D"/>
    <w:rsid w:val="4F860A4D"/>
    <w:rsid w:val="4F895E47"/>
    <w:rsid w:val="4FBA06F6"/>
    <w:rsid w:val="4FC21359"/>
    <w:rsid w:val="4FDA533B"/>
    <w:rsid w:val="4FEC0951"/>
    <w:rsid w:val="4FFA6494"/>
    <w:rsid w:val="4FFD3D1D"/>
    <w:rsid w:val="50037383"/>
    <w:rsid w:val="50201D1E"/>
    <w:rsid w:val="502E1607"/>
    <w:rsid w:val="505428F9"/>
    <w:rsid w:val="50610B72"/>
    <w:rsid w:val="506F72BD"/>
    <w:rsid w:val="5080549C"/>
    <w:rsid w:val="508A631B"/>
    <w:rsid w:val="50AF18DD"/>
    <w:rsid w:val="50B60EBE"/>
    <w:rsid w:val="50BB6FBE"/>
    <w:rsid w:val="50C51101"/>
    <w:rsid w:val="50FA0DF6"/>
    <w:rsid w:val="511300BE"/>
    <w:rsid w:val="512F0C70"/>
    <w:rsid w:val="515661FD"/>
    <w:rsid w:val="51646B6C"/>
    <w:rsid w:val="516A1CA8"/>
    <w:rsid w:val="517B3EB5"/>
    <w:rsid w:val="518737A3"/>
    <w:rsid w:val="51905BB3"/>
    <w:rsid w:val="51954F77"/>
    <w:rsid w:val="519F4486"/>
    <w:rsid w:val="51A74CAA"/>
    <w:rsid w:val="51BA7410"/>
    <w:rsid w:val="51CF7228"/>
    <w:rsid w:val="51D610EC"/>
    <w:rsid w:val="51DB6702"/>
    <w:rsid w:val="521F6F37"/>
    <w:rsid w:val="523302EC"/>
    <w:rsid w:val="523C1897"/>
    <w:rsid w:val="52604E69"/>
    <w:rsid w:val="526112FD"/>
    <w:rsid w:val="5283164E"/>
    <w:rsid w:val="5288688A"/>
    <w:rsid w:val="52956C1E"/>
    <w:rsid w:val="529C40E3"/>
    <w:rsid w:val="52A64F62"/>
    <w:rsid w:val="52CA6EA2"/>
    <w:rsid w:val="52D000D0"/>
    <w:rsid w:val="52E5229F"/>
    <w:rsid w:val="52EA12F3"/>
    <w:rsid w:val="533E0D6F"/>
    <w:rsid w:val="534D2CFE"/>
    <w:rsid w:val="535A6478"/>
    <w:rsid w:val="536C7F5A"/>
    <w:rsid w:val="53794425"/>
    <w:rsid w:val="537A2677"/>
    <w:rsid w:val="53B35B89"/>
    <w:rsid w:val="53B8319F"/>
    <w:rsid w:val="53E144A4"/>
    <w:rsid w:val="53E93358"/>
    <w:rsid w:val="53EBF745"/>
    <w:rsid w:val="54040192"/>
    <w:rsid w:val="540B7773"/>
    <w:rsid w:val="543642EB"/>
    <w:rsid w:val="544F3B03"/>
    <w:rsid w:val="546B0211"/>
    <w:rsid w:val="54A54516"/>
    <w:rsid w:val="54A61249"/>
    <w:rsid w:val="54AF434B"/>
    <w:rsid w:val="54BA6AA3"/>
    <w:rsid w:val="54E55B5A"/>
    <w:rsid w:val="54F621D1"/>
    <w:rsid w:val="54FB1595"/>
    <w:rsid w:val="54FC530D"/>
    <w:rsid w:val="55052414"/>
    <w:rsid w:val="552F56E3"/>
    <w:rsid w:val="552F6250"/>
    <w:rsid w:val="55465308"/>
    <w:rsid w:val="556221EC"/>
    <w:rsid w:val="5563713A"/>
    <w:rsid w:val="55985036"/>
    <w:rsid w:val="55A559A5"/>
    <w:rsid w:val="55B07EC1"/>
    <w:rsid w:val="55E53FF3"/>
    <w:rsid w:val="56015B8D"/>
    <w:rsid w:val="56097CE2"/>
    <w:rsid w:val="56150FC3"/>
    <w:rsid w:val="562B40FC"/>
    <w:rsid w:val="564927D4"/>
    <w:rsid w:val="565D1DDC"/>
    <w:rsid w:val="5663501F"/>
    <w:rsid w:val="56890E23"/>
    <w:rsid w:val="56921A85"/>
    <w:rsid w:val="56B70DA3"/>
    <w:rsid w:val="56D229D1"/>
    <w:rsid w:val="56D46542"/>
    <w:rsid w:val="56D64F02"/>
    <w:rsid w:val="56DB2938"/>
    <w:rsid w:val="56F27E0B"/>
    <w:rsid w:val="572609FE"/>
    <w:rsid w:val="5728063B"/>
    <w:rsid w:val="572C3DDC"/>
    <w:rsid w:val="575E08EA"/>
    <w:rsid w:val="5769341F"/>
    <w:rsid w:val="579B0E0D"/>
    <w:rsid w:val="57B36157"/>
    <w:rsid w:val="57BD6FD6"/>
    <w:rsid w:val="57DD1426"/>
    <w:rsid w:val="57EA3B43"/>
    <w:rsid w:val="57EA769F"/>
    <w:rsid w:val="57FD9C99"/>
    <w:rsid w:val="586E207E"/>
    <w:rsid w:val="587B479B"/>
    <w:rsid w:val="588B0E82"/>
    <w:rsid w:val="588E0972"/>
    <w:rsid w:val="588F37D2"/>
    <w:rsid w:val="58922210"/>
    <w:rsid w:val="589917F1"/>
    <w:rsid w:val="58B02697"/>
    <w:rsid w:val="58D83252"/>
    <w:rsid w:val="58DA7713"/>
    <w:rsid w:val="58F85DEC"/>
    <w:rsid w:val="58FA6008"/>
    <w:rsid w:val="59180594"/>
    <w:rsid w:val="59301A29"/>
    <w:rsid w:val="595C637A"/>
    <w:rsid w:val="59657925"/>
    <w:rsid w:val="59696470"/>
    <w:rsid w:val="596D4A2C"/>
    <w:rsid w:val="597436C4"/>
    <w:rsid w:val="599E4BE5"/>
    <w:rsid w:val="59C503C4"/>
    <w:rsid w:val="59D76003"/>
    <w:rsid w:val="59F65CA1"/>
    <w:rsid w:val="5A056A12"/>
    <w:rsid w:val="5A2C3F9F"/>
    <w:rsid w:val="5A2F1CE1"/>
    <w:rsid w:val="5A4E495F"/>
    <w:rsid w:val="5A551748"/>
    <w:rsid w:val="5A6000EC"/>
    <w:rsid w:val="5A706581"/>
    <w:rsid w:val="5A753B98"/>
    <w:rsid w:val="5A7616BE"/>
    <w:rsid w:val="5A845B89"/>
    <w:rsid w:val="5A8E3625"/>
    <w:rsid w:val="5AA219DE"/>
    <w:rsid w:val="5AAC3332"/>
    <w:rsid w:val="5AC052E1"/>
    <w:rsid w:val="5ACC7530"/>
    <w:rsid w:val="5AD4622E"/>
    <w:rsid w:val="5AEB3E5A"/>
    <w:rsid w:val="5AEB7BDD"/>
    <w:rsid w:val="5AED7BD2"/>
    <w:rsid w:val="5AEF7057"/>
    <w:rsid w:val="5AFA22EF"/>
    <w:rsid w:val="5B2745C6"/>
    <w:rsid w:val="5B2F01EA"/>
    <w:rsid w:val="5B500161"/>
    <w:rsid w:val="5B5227BD"/>
    <w:rsid w:val="5B5714EF"/>
    <w:rsid w:val="5B580C05"/>
    <w:rsid w:val="5B6C07C2"/>
    <w:rsid w:val="5B721E85"/>
    <w:rsid w:val="5BA67D81"/>
    <w:rsid w:val="5BA82211"/>
    <w:rsid w:val="5BAE5362"/>
    <w:rsid w:val="5BED775E"/>
    <w:rsid w:val="5C163158"/>
    <w:rsid w:val="5C1B5762"/>
    <w:rsid w:val="5C337866"/>
    <w:rsid w:val="5C613A9F"/>
    <w:rsid w:val="5C8400C2"/>
    <w:rsid w:val="5C844566"/>
    <w:rsid w:val="5C9A5B38"/>
    <w:rsid w:val="5CD077A1"/>
    <w:rsid w:val="5CD12CD6"/>
    <w:rsid w:val="5CD35FA4"/>
    <w:rsid w:val="5CD75A20"/>
    <w:rsid w:val="5CDA4186"/>
    <w:rsid w:val="5CDF79EE"/>
    <w:rsid w:val="5CE2303B"/>
    <w:rsid w:val="5CF03BA3"/>
    <w:rsid w:val="5CF54D43"/>
    <w:rsid w:val="5CF67D18"/>
    <w:rsid w:val="5CF80AB0"/>
    <w:rsid w:val="5D0B07E3"/>
    <w:rsid w:val="5D123920"/>
    <w:rsid w:val="5D1805B6"/>
    <w:rsid w:val="5D184CAE"/>
    <w:rsid w:val="5D1D4073"/>
    <w:rsid w:val="5D261179"/>
    <w:rsid w:val="5D281140"/>
    <w:rsid w:val="5D4F5AE7"/>
    <w:rsid w:val="5D681858"/>
    <w:rsid w:val="5D715C7A"/>
    <w:rsid w:val="5D720862"/>
    <w:rsid w:val="5D722610"/>
    <w:rsid w:val="5D775E79"/>
    <w:rsid w:val="5D7C348F"/>
    <w:rsid w:val="5D9B0F9B"/>
    <w:rsid w:val="5DA86032"/>
    <w:rsid w:val="5DB60140"/>
    <w:rsid w:val="5DE27796"/>
    <w:rsid w:val="5DEF3C61"/>
    <w:rsid w:val="5DF70D68"/>
    <w:rsid w:val="5E0D63C7"/>
    <w:rsid w:val="5E185685"/>
    <w:rsid w:val="5E2A6A47"/>
    <w:rsid w:val="5E2F0501"/>
    <w:rsid w:val="5E3B62C2"/>
    <w:rsid w:val="5E6D09FC"/>
    <w:rsid w:val="5E734892"/>
    <w:rsid w:val="5E7D7639"/>
    <w:rsid w:val="5E826883"/>
    <w:rsid w:val="5E8633D0"/>
    <w:rsid w:val="5E8C7702"/>
    <w:rsid w:val="5EA902B4"/>
    <w:rsid w:val="5EDD61AF"/>
    <w:rsid w:val="5EF157B7"/>
    <w:rsid w:val="5EFC6636"/>
    <w:rsid w:val="5EFF1C82"/>
    <w:rsid w:val="5F043B72"/>
    <w:rsid w:val="5F13397F"/>
    <w:rsid w:val="5F166FCB"/>
    <w:rsid w:val="5F28567D"/>
    <w:rsid w:val="5F3C1128"/>
    <w:rsid w:val="5F4D70DD"/>
    <w:rsid w:val="5F70492E"/>
    <w:rsid w:val="5F85487D"/>
    <w:rsid w:val="5F891B8F"/>
    <w:rsid w:val="5FD924D3"/>
    <w:rsid w:val="5FDA3DD1"/>
    <w:rsid w:val="5FDE56CC"/>
    <w:rsid w:val="5FE231A1"/>
    <w:rsid w:val="5FEB0A47"/>
    <w:rsid w:val="5FED41D0"/>
    <w:rsid w:val="5FF077EE"/>
    <w:rsid w:val="5FF53085"/>
    <w:rsid w:val="6009517F"/>
    <w:rsid w:val="600A4D82"/>
    <w:rsid w:val="601B2C0D"/>
    <w:rsid w:val="6037369D"/>
    <w:rsid w:val="603C0CB4"/>
    <w:rsid w:val="60402552"/>
    <w:rsid w:val="60567FC7"/>
    <w:rsid w:val="60626B78"/>
    <w:rsid w:val="607172EB"/>
    <w:rsid w:val="6074044E"/>
    <w:rsid w:val="60A15010"/>
    <w:rsid w:val="60A96349"/>
    <w:rsid w:val="60C5514D"/>
    <w:rsid w:val="60DA29A7"/>
    <w:rsid w:val="60DD4635"/>
    <w:rsid w:val="60DF620F"/>
    <w:rsid w:val="60F11A9E"/>
    <w:rsid w:val="61042D3F"/>
    <w:rsid w:val="6114688D"/>
    <w:rsid w:val="61233CFA"/>
    <w:rsid w:val="61244ACF"/>
    <w:rsid w:val="614C3178"/>
    <w:rsid w:val="614D13CA"/>
    <w:rsid w:val="6176753D"/>
    <w:rsid w:val="61A8587F"/>
    <w:rsid w:val="61BC02FE"/>
    <w:rsid w:val="61CB0541"/>
    <w:rsid w:val="61CB22EF"/>
    <w:rsid w:val="61D5316E"/>
    <w:rsid w:val="61E810F3"/>
    <w:rsid w:val="61ED04B8"/>
    <w:rsid w:val="61F555BE"/>
    <w:rsid w:val="62015D11"/>
    <w:rsid w:val="62040764"/>
    <w:rsid w:val="6220088D"/>
    <w:rsid w:val="62210161"/>
    <w:rsid w:val="62223BC5"/>
    <w:rsid w:val="62273BCB"/>
    <w:rsid w:val="622A5268"/>
    <w:rsid w:val="62414248"/>
    <w:rsid w:val="627B1F67"/>
    <w:rsid w:val="628B1F94"/>
    <w:rsid w:val="629722D9"/>
    <w:rsid w:val="62A019CE"/>
    <w:rsid w:val="62AF39D2"/>
    <w:rsid w:val="62B72874"/>
    <w:rsid w:val="62CC631F"/>
    <w:rsid w:val="63043D0B"/>
    <w:rsid w:val="63177590"/>
    <w:rsid w:val="63251C87"/>
    <w:rsid w:val="632F0658"/>
    <w:rsid w:val="633F2F95"/>
    <w:rsid w:val="6361115D"/>
    <w:rsid w:val="63A77284"/>
    <w:rsid w:val="63AB687C"/>
    <w:rsid w:val="63B03E93"/>
    <w:rsid w:val="63B75221"/>
    <w:rsid w:val="63DC64F9"/>
    <w:rsid w:val="64007856"/>
    <w:rsid w:val="64055F8C"/>
    <w:rsid w:val="64412D3D"/>
    <w:rsid w:val="64720072"/>
    <w:rsid w:val="647749B0"/>
    <w:rsid w:val="648C045C"/>
    <w:rsid w:val="648E27B1"/>
    <w:rsid w:val="64A87775"/>
    <w:rsid w:val="64C33752"/>
    <w:rsid w:val="64EC0EFA"/>
    <w:rsid w:val="64EF2799"/>
    <w:rsid w:val="64F34037"/>
    <w:rsid w:val="65162C64"/>
    <w:rsid w:val="65476131"/>
    <w:rsid w:val="65532D27"/>
    <w:rsid w:val="65593D34"/>
    <w:rsid w:val="656071F2"/>
    <w:rsid w:val="657A4758"/>
    <w:rsid w:val="65870C23"/>
    <w:rsid w:val="65982E30"/>
    <w:rsid w:val="659F5ECE"/>
    <w:rsid w:val="65AE1397"/>
    <w:rsid w:val="65BA2DA7"/>
    <w:rsid w:val="65DF0A5F"/>
    <w:rsid w:val="65E41BD1"/>
    <w:rsid w:val="6618187B"/>
    <w:rsid w:val="662B15AE"/>
    <w:rsid w:val="663F5F4A"/>
    <w:rsid w:val="664B1C51"/>
    <w:rsid w:val="66660838"/>
    <w:rsid w:val="6683763C"/>
    <w:rsid w:val="66860EDB"/>
    <w:rsid w:val="668F4C29"/>
    <w:rsid w:val="66903B07"/>
    <w:rsid w:val="66AF4C73"/>
    <w:rsid w:val="66B94E0C"/>
    <w:rsid w:val="66BD27FD"/>
    <w:rsid w:val="66C13CC1"/>
    <w:rsid w:val="66EA76BB"/>
    <w:rsid w:val="66EC3434"/>
    <w:rsid w:val="66F43399"/>
    <w:rsid w:val="66FD73EF"/>
    <w:rsid w:val="671349F9"/>
    <w:rsid w:val="67144C6F"/>
    <w:rsid w:val="67184229"/>
    <w:rsid w:val="6723497B"/>
    <w:rsid w:val="67283D40"/>
    <w:rsid w:val="67401089"/>
    <w:rsid w:val="67492634"/>
    <w:rsid w:val="674A63AC"/>
    <w:rsid w:val="674C2F19"/>
    <w:rsid w:val="675B2367"/>
    <w:rsid w:val="675E59B4"/>
    <w:rsid w:val="67876CB8"/>
    <w:rsid w:val="67A9036D"/>
    <w:rsid w:val="67B11F87"/>
    <w:rsid w:val="67BF6452"/>
    <w:rsid w:val="67C95523"/>
    <w:rsid w:val="67CC6DC1"/>
    <w:rsid w:val="68060525"/>
    <w:rsid w:val="681A18DB"/>
    <w:rsid w:val="684B418A"/>
    <w:rsid w:val="685B53D9"/>
    <w:rsid w:val="68664B20"/>
    <w:rsid w:val="686B65DA"/>
    <w:rsid w:val="688558EE"/>
    <w:rsid w:val="688D0859"/>
    <w:rsid w:val="688E4077"/>
    <w:rsid w:val="68996CA3"/>
    <w:rsid w:val="689C23B8"/>
    <w:rsid w:val="689F0032"/>
    <w:rsid w:val="68A764C4"/>
    <w:rsid w:val="68A85138"/>
    <w:rsid w:val="68CF175C"/>
    <w:rsid w:val="68D36F7F"/>
    <w:rsid w:val="68ED5241"/>
    <w:rsid w:val="690D143F"/>
    <w:rsid w:val="696E593D"/>
    <w:rsid w:val="697D4817"/>
    <w:rsid w:val="69872FA0"/>
    <w:rsid w:val="699658D9"/>
    <w:rsid w:val="69A534DB"/>
    <w:rsid w:val="69B65066"/>
    <w:rsid w:val="69C51D1A"/>
    <w:rsid w:val="69D14D3A"/>
    <w:rsid w:val="69E5416A"/>
    <w:rsid w:val="6A164324"/>
    <w:rsid w:val="6A2B7686"/>
    <w:rsid w:val="6A366774"/>
    <w:rsid w:val="6A401C84"/>
    <w:rsid w:val="6A537326"/>
    <w:rsid w:val="6A5512F0"/>
    <w:rsid w:val="6A570BC4"/>
    <w:rsid w:val="6A971908"/>
    <w:rsid w:val="6A9E4A45"/>
    <w:rsid w:val="6AA06A0F"/>
    <w:rsid w:val="6AB44268"/>
    <w:rsid w:val="6AB53B3C"/>
    <w:rsid w:val="6AB853DB"/>
    <w:rsid w:val="6ADC37BF"/>
    <w:rsid w:val="6ADC556D"/>
    <w:rsid w:val="6AFB1E97"/>
    <w:rsid w:val="6B4A697B"/>
    <w:rsid w:val="6B5E2EFA"/>
    <w:rsid w:val="6B6537B4"/>
    <w:rsid w:val="6B655563"/>
    <w:rsid w:val="6B7811D8"/>
    <w:rsid w:val="6B8271C9"/>
    <w:rsid w:val="6B8754D9"/>
    <w:rsid w:val="6B96396E"/>
    <w:rsid w:val="6BC26511"/>
    <w:rsid w:val="6BDF7427"/>
    <w:rsid w:val="6BE20961"/>
    <w:rsid w:val="6BEE7306"/>
    <w:rsid w:val="6BF3491C"/>
    <w:rsid w:val="6BFFE983"/>
    <w:rsid w:val="6C0B610A"/>
    <w:rsid w:val="6C164AAF"/>
    <w:rsid w:val="6C256AA0"/>
    <w:rsid w:val="6C346DC3"/>
    <w:rsid w:val="6C3B62C3"/>
    <w:rsid w:val="6C507FC1"/>
    <w:rsid w:val="6C5C4BB7"/>
    <w:rsid w:val="6C5C5F78"/>
    <w:rsid w:val="6C755C79"/>
    <w:rsid w:val="6C7D08B1"/>
    <w:rsid w:val="6C8E5AD0"/>
    <w:rsid w:val="6CD8748D"/>
    <w:rsid w:val="6CE95D1F"/>
    <w:rsid w:val="6CF2784B"/>
    <w:rsid w:val="6D5238C5"/>
    <w:rsid w:val="6D6535F8"/>
    <w:rsid w:val="6D657A9C"/>
    <w:rsid w:val="6D8223FC"/>
    <w:rsid w:val="6DA305C4"/>
    <w:rsid w:val="6DAA54AF"/>
    <w:rsid w:val="6DC04CD2"/>
    <w:rsid w:val="6DE76703"/>
    <w:rsid w:val="6E042948"/>
    <w:rsid w:val="6E0E0133"/>
    <w:rsid w:val="6E1F6390"/>
    <w:rsid w:val="6E3556C0"/>
    <w:rsid w:val="6E3A23A7"/>
    <w:rsid w:val="6E3F653F"/>
    <w:rsid w:val="6E6171AA"/>
    <w:rsid w:val="6E677844"/>
    <w:rsid w:val="6E69536A"/>
    <w:rsid w:val="6E7D3A55"/>
    <w:rsid w:val="6E8421A4"/>
    <w:rsid w:val="6E91041D"/>
    <w:rsid w:val="6EAE3E11"/>
    <w:rsid w:val="6EBF4F8A"/>
    <w:rsid w:val="6ED36B1B"/>
    <w:rsid w:val="6ED722D3"/>
    <w:rsid w:val="6EE3511C"/>
    <w:rsid w:val="6EE449F0"/>
    <w:rsid w:val="6F0E7CBF"/>
    <w:rsid w:val="6F1617FD"/>
    <w:rsid w:val="6F35349E"/>
    <w:rsid w:val="6F502086"/>
    <w:rsid w:val="6F576951"/>
    <w:rsid w:val="6F7A7FF3"/>
    <w:rsid w:val="6FAF14A2"/>
    <w:rsid w:val="6FB2689C"/>
    <w:rsid w:val="6FB76A0A"/>
    <w:rsid w:val="6FB940CF"/>
    <w:rsid w:val="6FC565D0"/>
    <w:rsid w:val="6FDD6085"/>
    <w:rsid w:val="6FF36CC2"/>
    <w:rsid w:val="6FFE5F86"/>
    <w:rsid w:val="6FFE7D34"/>
    <w:rsid w:val="70390D6C"/>
    <w:rsid w:val="705362D1"/>
    <w:rsid w:val="70625E58"/>
    <w:rsid w:val="7086371C"/>
    <w:rsid w:val="708F6D06"/>
    <w:rsid w:val="70AF3272"/>
    <w:rsid w:val="70DA7783"/>
    <w:rsid w:val="70F45932"/>
    <w:rsid w:val="70F73101"/>
    <w:rsid w:val="71125B45"/>
    <w:rsid w:val="711F61B4"/>
    <w:rsid w:val="71237A52"/>
    <w:rsid w:val="7128150C"/>
    <w:rsid w:val="715664EF"/>
    <w:rsid w:val="7157594D"/>
    <w:rsid w:val="715916C6"/>
    <w:rsid w:val="71635306"/>
    <w:rsid w:val="71700755"/>
    <w:rsid w:val="718A5D23"/>
    <w:rsid w:val="71A31B56"/>
    <w:rsid w:val="71A72809"/>
    <w:rsid w:val="71BD48FF"/>
    <w:rsid w:val="71C06E37"/>
    <w:rsid w:val="71C50D8A"/>
    <w:rsid w:val="71E10E40"/>
    <w:rsid w:val="71FD64F5"/>
    <w:rsid w:val="72172D7A"/>
    <w:rsid w:val="7229553C"/>
    <w:rsid w:val="72344EEE"/>
    <w:rsid w:val="723E2669"/>
    <w:rsid w:val="72691DDC"/>
    <w:rsid w:val="726A7EE5"/>
    <w:rsid w:val="726C367A"/>
    <w:rsid w:val="727F515C"/>
    <w:rsid w:val="72856BED"/>
    <w:rsid w:val="72D134DE"/>
    <w:rsid w:val="72F83160"/>
    <w:rsid w:val="7315161C"/>
    <w:rsid w:val="732950C8"/>
    <w:rsid w:val="73337CF4"/>
    <w:rsid w:val="73541EE2"/>
    <w:rsid w:val="73555EBD"/>
    <w:rsid w:val="735D6AC4"/>
    <w:rsid w:val="737264FC"/>
    <w:rsid w:val="737A39EF"/>
    <w:rsid w:val="73A40BF2"/>
    <w:rsid w:val="73D70FC8"/>
    <w:rsid w:val="73D72D76"/>
    <w:rsid w:val="73D75AF6"/>
    <w:rsid w:val="73F27BAF"/>
    <w:rsid w:val="73FF2BD8"/>
    <w:rsid w:val="743401C8"/>
    <w:rsid w:val="743540CB"/>
    <w:rsid w:val="743D52CE"/>
    <w:rsid w:val="7456282B"/>
    <w:rsid w:val="745F240E"/>
    <w:rsid w:val="748477CA"/>
    <w:rsid w:val="749B62EF"/>
    <w:rsid w:val="74E90FB2"/>
    <w:rsid w:val="74FA4F6E"/>
    <w:rsid w:val="751029E3"/>
    <w:rsid w:val="7535244A"/>
    <w:rsid w:val="753B283B"/>
    <w:rsid w:val="753C5586"/>
    <w:rsid w:val="755212AE"/>
    <w:rsid w:val="75526B58"/>
    <w:rsid w:val="759A405B"/>
    <w:rsid w:val="75A82C1C"/>
    <w:rsid w:val="75B01AD0"/>
    <w:rsid w:val="75BA64AB"/>
    <w:rsid w:val="75CA1E59"/>
    <w:rsid w:val="75DC0B17"/>
    <w:rsid w:val="75E874BC"/>
    <w:rsid w:val="75FF70A8"/>
    <w:rsid w:val="76037E52"/>
    <w:rsid w:val="760A5684"/>
    <w:rsid w:val="7623606E"/>
    <w:rsid w:val="764F3097"/>
    <w:rsid w:val="7650348F"/>
    <w:rsid w:val="766320B0"/>
    <w:rsid w:val="76746FA2"/>
    <w:rsid w:val="767D7C04"/>
    <w:rsid w:val="767E397C"/>
    <w:rsid w:val="76AD7B55"/>
    <w:rsid w:val="76AD7DBE"/>
    <w:rsid w:val="76B15B00"/>
    <w:rsid w:val="76C03F95"/>
    <w:rsid w:val="76D32003"/>
    <w:rsid w:val="76D6203C"/>
    <w:rsid w:val="76DF0360"/>
    <w:rsid w:val="77471FC0"/>
    <w:rsid w:val="776C1A27"/>
    <w:rsid w:val="779C67B0"/>
    <w:rsid w:val="779E031E"/>
    <w:rsid w:val="77C6752A"/>
    <w:rsid w:val="77D31AA6"/>
    <w:rsid w:val="77FB59D0"/>
    <w:rsid w:val="781A243C"/>
    <w:rsid w:val="782347DB"/>
    <w:rsid w:val="78393FFF"/>
    <w:rsid w:val="783A38D3"/>
    <w:rsid w:val="78450BF6"/>
    <w:rsid w:val="784B788E"/>
    <w:rsid w:val="78520C1D"/>
    <w:rsid w:val="786170B2"/>
    <w:rsid w:val="786F17CF"/>
    <w:rsid w:val="78744ECD"/>
    <w:rsid w:val="78882CFE"/>
    <w:rsid w:val="78972AD3"/>
    <w:rsid w:val="789C633C"/>
    <w:rsid w:val="78A4038D"/>
    <w:rsid w:val="78BF0A70"/>
    <w:rsid w:val="78BF50E4"/>
    <w:rsid w:val="78D41F79"/>
    <w:rsid w:val="78DA0380"/>
    <w:rsid w:val="78EE303B"/>
    <w:rsid w:val="78F86879"/>
    <w:rsid w:val="78FD327E"/>
    <w:rsid w:val="79102FB2"/>
    <w:rsid w:val="79183C14"/>
    <w:rsid w:val="79362FFB"/>
    <w:rsid w:val="794A3CE9"/>
    <w:rsid w:val="794E5888"/>
    <w:rsid w:val="795B1D53"/>
    <w:rsid w:val="796230E1"/>
    <w:rsid w:val="797F5A41"/>
    <w:rsid w:val="798D2489"/>
    <w:rsid w:val="799D2D38"/>
    <w:rsid w:val="79C63670"/>
    <w:rsid w:val="79F13415"/>
    <w:rsid w:val="7A0B5527"/>
    <w:rsid w:val="7A0D4155"/>
    <w:rsid w:val="7A546ECE"/>
    <w:rsid w:val="7AA17C39"/>
    <w:rsid w:val="7AC34054"/>
    <w:rsid w:val="7ACC115A"/>
    <w:rsid w:val="7AD4000F"/>
    <w:rsid w:val="7AF34939"/>
    <w:rsid w:val="7AFE508C"/>
    <w:rsid w:val="7B0501C8"/>
    <w:rsid w:val="7B05641A"/>
    <w:rsid w:val="7B0F54EB"/>
    <w:rsid w:val="7B147E73"/>
    <w:rsid w:val="7B3A0E25"/>
    <w:rsid w:val="7B5F0F13"/>
    <w:rsid w:val="7B641393"/>
    <w:rsid w:val="7B6E0463"/>
    <w:rsid w:val="7B6F1AE6"/>
    <w:rsid w:val="7B705F89"/>
    <w:rsid w:val="7B7839FD"/>
    <w:rsid w:val="7B796C28"/>
    <w:rsid w:val="7B9349F9"/>
    <w:rsid w:val="7BAE260E"/>
    <w:rsid w:val="7BB045D8"/>
    <w:rsid w:val="7BBBB081"/>
    <w:rsid w:val="7BC462D5"/>
    <w:rsid w:val="7BD007D6"/>
    <w:rsid w:val="7BD36518"/>
    <w:rsid w:val="7BD55DED"/>
    <w:rsid w:val="7BDF7649"/>
    <w:rsid w:val="7BE424D4"/>
    <w:rsid w:val="7BF00E78"/>
    <w:rsid w:val="7C26489A"/>
    <w:rsid w:val="7C3437BD"/>
    <w:rsid w:val="7C484810"/>
    <w:rsid w:val="7C5E4034"/>
    <w:rsid w:val="7C694787"/>
    <w:rsid w:val="7C8E41ED"/>
    <w:rsid w:val="7CB65C1E"/>
    <w:rsid w:val="7CB73744"/>
    <w:rsid w:val="7CBE438A"/>
    <w:rsid w:val="7CCF3B00"/>
    <w:rsid w:val="7CDF00AD"/>
    <w:rsid w:val="7CE623FA"/>
    <w:rsid w:val="7D20753B"/>
    <w:rsid w:val="7D580A83"/>
    <w:rsid w:val="7D60202E"/>
    <w:rsid w:val="7D782ED3"/>
    <w:rsid w:val="7DB52379"/>
    <w:rsid w:val="7DC91981"/>
    <w:rsid w:val="7DCE4D7C"/>
    <w:rsid w:val="7DEF5E97"/>
    <w:rsid w:val="7DF6029C"/>
    <w:rsid w:val="7E196EF9"/>
    <w:rsid w:val="7E3314F0"/>
    <w:rsid w:val="7E413C0D"/>
    <w:rsid w:val="7E525E1A"/>
    <w:rsid w:val="7E5F5E41"/>
    <w:rsid w:val="7E6E2528"/>
    <w:rsid w:val="7E74499D"/>
    <w:rsid w:val="7E7F4735"/>
    <w:rsid w:val="7E860F18"/>
    <w:rsid w:val="7E906943"/>
    <w:rsid w:val="7E9A331D"/>
    <w:rsid w:val="7ECB1F51"/>
    <w:rsid w:val="7EDE76AE"/>
    <w:rsid w:val="7EEF55AD"/>
    <w:rsid w:val="7F01339C"/>
    <w:rsid w:val="7F2F4D9E"/>
    <w:rsid w:val="7F3E3E75"/>
    <w:rsid w:val="7F402117"/>
    <w:rsid w:val="7F4554E4"/>
    <w:rsid w:val="7F517E80"/>
    <w:rsid w:val="7F6010DD"/>
    <w:rsid w:val="7F637BB3"/>
    <w:rsid w:val="7F651B7D"/>
    <w:rsid w:val="7F6776A3"/>
    <w:rsid w:val="7F67C9A7"/>
    <w:rsid w:val="7F69341C"/>
    <w:rsid w:val="7F6F0306"/>
    <w:rsid w:val="7F7D2A23"/>
    <w:rsid w:val="7F7E7EB9"/>
    <w:rsid w:val="7F8738A2"/>
    <w:rsid w:val="7FCA6E79"/>
    <w:rsid w:val="7FD64829"/>
    <w:rsid w:val="7FD67C8B"/>
    <w:rsid w:val="7FFF5B2E"/>
    <w:rsid w:val="7FFF78DC"/>
    <w:rsid w:val="9F6D6D36"/>
    <w:rsid w:val="B3CFBC6F"/>
    <w:rsid w:val="BE7FAAB6"/>
    <w:rsid w:val="BFEF5C75"/>
    <w:rsid w:val="D6DF2E38"/>
    <w:rsid w:val="D7878013"/>
    <w:rsid w:val="DED7004D"/>
    <w:rsid w:val="DF2F7193"/>
    <w:rsid w:val="E7FF1EAE"/>
    <w:rsid w:val="EB3F0BA6"/>
    <w:rsid w:val="EBE6BE6C"/>
    <w:rsid w:val="EF373D7D"/>
    <w:rsid w:val="EFFF878E"/>
    <w:rsid w:val="F3FEB09A"/>
    <w:rsid w:val="F7DE7AA0"/>
    <w:rsid w:val="FBF96AF4"/>
    <w:rsid w:val="FDE5796A"/>
    <w:rsid w:val="FF67F8D7"/>
    <w:rsid w:val="FFF905D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1"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Ascii" w:hAnsiTheme="minorAscii" w:cstheme="minorBidi"/>
      <w:kern w:val="2"/>
      <w:sz w:val="32"/>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szCs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1"/>
    <w:pPr>
      <w:ind w:firstLine="420" w:firstLineChars="200"/>
    </w:pPr>
    <w:rPr>
      <w:rFonts w:eastAsia="仿宋"/>
      <w:sz w:val="32"/>
    </w:rPr>
  </w:style>
  <w:style w:type="paragraph" w:styleId="5">
    <w:name w:val="annotation text"/>
    <w:basedOn w:val="1"/>
    <w:qFormat/>
    <w:uiPriority w:val="0"/>
    <w:pPr>
      <w:jc w:val="left"/>
    </w:pPr>
  </w:style>
  <w:style w:type="paragraph" w:styleId="6">
    <w:name w:val="Body Text Indent"/>
    <w:basedOn w:val="1"/>
    <w:next w:val="4"/>
    <w:qFormat/>
    <w:uiPriority w:val="0"/>
    <w:pPr>
      <w:spacing w:after="120"/>
      <w:ind w:left="4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footnote text"/>
    <w:basedOn w:val="1"/>
    <w:unhideWhenUsed/>
    <w:qFormat/>
    <w:uiPriority w:val="0"/>
    <w:pPr>
      <w:snapToGrid w:val="0"/>
      <w:jc w:val="left"/>
    </w:pPr>
    <w:rPr>
      <w:sz w:val="18"/>
      <w:szCs w:val="18"/>
    </w:rPr>
  </w:style>
  <w:style w:type="paragraph" w:styleId="11">
    <w:name w:val="toc 2"/>
    <w:basedOn w:val="1"/>
    <w:next w:val="1"/>
    <w:qFormat/>
    <w:uiPriority w:val="0"/>
    <w:pPr>
      <w:ind w:left="420" w:leftChars="200"/>
    </w:pPr>
  </w:style>
  <w:style w:type="paragraph" w:styleId="12">
    <w:name w:val="Normal (Web)"/>
    <w:basedOn w:val="1"/>
    <w:qFormat/>
    <w:uiPriority w:val="0"/>
    <w:pPr>
      <w:spacing w:beforeAutospacing="1" w:afterAutospacing="1"/>
      <w:jc w:val="left"/>
    </w:pPr>
    <w:rPr>
      <w:rFonts w:cs="Times New Roman"/>
      <w:kern w:val="0"/>
      <w:sz w:val="24"/>
      <w:szCs w:val="24"/>
    </w:rPr>
  </w:style>
  <w:style w:type="paragraph" w:styleId="13">
    <w:name w:val="Body Text First Indent 2"/>
    <w:basedOn w:val="6"/>
    <w:qFormat/>
    <w:uiPriority w:val="0"/>
    <w:pPr>
      <w:ind w:firstLine="420"/>
    </w:pPr>
  </w:style>
  <w:style w:type="character" w:styleId="16">
    <w:name w:val="Strong"/>
    <w:basedOn w:val="15"/>
    <w:qFormat/>
    <w:uiPriority w:val="0"/>
    <w:rPr>
      <w:b/>
    </w:rPr>
  </w:style>
  <w:style w:type="character" w:styleId="17">
    <w:name w:val="Hyperlink"/>
    <w:basedOn w:val="15"/>
    <w:qFormat/>
    <w:uiPriority w:val="0"/>
    <w:rPr>
      <w:color w:val="0000FF"/>
      <w:u w:val="single"/>
    </w:rPr>
  </w:style>
  <w:style w:type="character" w:styleId="18">
    <w:name w:val="footnote reference"/>
    <w:qFormat/>
    <w:uiPriority w:val="0"/>
    <w:rPr>
      <w:vertAlign w:val="superscript"/>
    </w:rPr>
  </w:style>
  <w:style w:type="paragraph" w:customStyle="1" w:styleId="19">
    <w:name w:val="XN正文"/>
    <w:basedOn w:val="20"/>
    <w:qFormat/>
    <w:uiPriority w:val="0"/>
    <w:pPr>
      <w:spacing w:line="560" w:lineRule="exact"/>
      <w:ind w:firstLine="560"/>
      <w:outlineLvl w:val="9"/>
    </w:pPr>
    <w:rPr>
      <w:rFonts w:cs="仿宋"/>
      <w:color w:val="000000" w:themeColor="text1"/>
      <w:sz w:val="28"/>
      <w14:textFill>
        <w14:solidFill>
          <w14:schemeClr w14:val="tx1"/>
        </w14:solidFill>
      </w14:textFill>
    </w:rPr>
  </w:style>
  <w:style w:type="paragraph" w:customStyle="1" w:styleId="20">
    <w:name w:val="XN4级"/>
    <w:basedOn w:val="21"/>
    <w:next w:val="1"/>
    <w:qFormat/>
    <w:uiPriority w:val="0"/>
    <w:pPr>
      <w:ind w:firstLine="640"/>
      <w:jc w:val="both"/>
      <w:outlineLvl w:val="3"/>
    </w:pPr>
    <w:rPr>
      <w:rFonts w:eastAsia="仿宋_GB2312"/>
    </w:rPr>
  </w:style>
  <w:style w:type="paragraph" w:customStyle="1" w:styleId="21">
    <w:name w:val="XN3级"/>
    <w:basedOn w:val="22"/>
    <w:next w:val="1"/>
    <w:qFormat/>
    <w:uiPriority w:val="0"/>
    <w:pPr>
      <w:outlineLvl w:val="2"/>
    </w:pPr>
    <w:rPr>
      <w:rFonts w:ascii="仿宋" w:hAnsi="仿宋" w:eastAsia="楷体"/>
      <w:szCs w:val="28"/>
    </w:rPr>
  </w:style>
  <w:style w:type="paragraph" w:customStyle="1" w:styleId="22">
    <w:name w:val="XN2级"/>
    <w:basedOn w:val="23"/>
    <w:next w:val="1"/>
    <w:qFormat/>
    <w:uiPriority w:val="0"/>
    <w:pPr>
      <w:spacing w:after="0" w:afterLines="0" w:line="640" w:lineRule="exact"/>
      <w:ind w:firstLine="200" w:firstLineChars="200"/>
      <w:jc w:val="left"/>
      <w:outlineLvl w:val="1"/>
    </w:pPr>
    <w:rPr>
      <w:rFonts w:eastAsia="黑体"/>
      <w:sz w:val="32"/>
    </w:rPr>
  </w:style>
  <w:style w:type="paragraph" w:customStyle="1" w:styleId="23">
    <w:name w:val="XN1级"/>
    <w:basedOn w:val="2"/>
    <w:qFormat/>
    <w:uiPriority w:val="0"/>
    <w:pPr>
      <w:keepNext w:val="0"/>
      <w:keepLines w:val="0"/>
      <w:spacing w:before="0" w:after="100" w:afterLines="100" w:line="580" w:lineRule="exact"/>
      <w:contextualSpacing/>
      <w:jc w:val="center"/>
    </w:pPr>
    <w:rPr>
      <w:rFonts w:eastAsia="方正小标宋简体"/>
      <w:b w:val="0"/>
    </w:rPr>
  </w:style>
  <w:style w:type="paragraph" w:customStyle="1" w:styleId="24">
    <w:name w:val="WPSOffice手动目录 1"/>
    <w:qFormat/>
    <w:uiPriority w:val="0"/>
    <w:pPr>
      <w:ind w:leftChars="0"/>
    </w:pPr>
    <w:rPr>
      <w:rFonts w:asciiTheme="minorHAnsi" w:hAnsiTheme="minorHAnsi" w:eastAsiaTheme="minorEastAsia" w:cstheme="minorBidi"/>
      <w:sz w:val="20"/>
      <w:szCs w:val="20"/>
    </w:rPr>
  </w:style>
  <w:style w:type="paragraph" w:customStyle="1" w:styleId="25">
    <w:name w:val="WPSOffice手动目录 2"/>
    <w:qFormat/>
    <w:uiPriority w:val="0"/>
    <w:pPr>
      <w:ind w:leftChars="200"/>
    </w:pPr>
    <w:rPr>
      <w:rFonts w:asciiTheme="minorHAnsi" w:hAnsiTheme="minorHAnsi" w:eastAsiaTheme="minorEastAsia" w:cstheme="minorBidi"/>
      <w:sz w:val="20"/>
      <w:szCs w:val="20"/>
    </w:rPr>
  </w:style>
  <w:style w:type="paragraph" w:customStyle="1" w:styleId="26">
    <w:name w:val="law-editor-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正文-公1"/>
    <w:basedOn w:val="1"/>
    <w:next w:val="1"/>
    <w:qFormat/>
    <w:uiPriority w:val="0"/>
    <w:pPr>
      <w:ind w:firstLine="200" w:firstLineChars="200"/>
      <w:jc w:val="left"/>
    </w:pPr>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12729</Words>
  <Characters>13365</Characters>
  <Lines>0</Lines>
  <Paragraphs>0</Paragraphs>
  <TotalTime>41</TotalTime>
  <ScaleCrop>false</ScaleCrop>
  <LinksUpToDate>false</LinksUpToDate>
  <CharactersWithSpaces>13539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zhaopingxin</dc:creator>
  <cp:lastModifiedBy>Administrator</cp:lastModifiedBy>
  <cp:lastPrinted>2026-01-06T01:45:00Z</cp:lastPrinted>
  <dcterms:modified xsi:type="dcterms:W3CDTF">2026-04-08T08:19:53Z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9E24C9A90151437BA99AFAAE015C1C23_13</vt:lpwstr>
  </property>
  <property fmtid="{D5CDD505-2E9C-101B-9397-08002B2CF9AE}" pid="4" name="KSOTemplateDocerSaveRecord">
    <vt:lpwstr>eyJoZGlkIjoiODZhYTUyMWYzNzk5NTQ2ZTNkOTIzZTUzMWVhNTM0OGMifQ==</vt:lpwstr>
  </property>
</Properties>
</file>