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600" w:lineRule="exact"/>
        <w:rPr>
          <w:rFonts w:ascii="黑体" w:hAnsi="黑体" w:eastAsia="黑体" w:cs="仿宋_GB2312"/>
          <w:sz w:val="32"/>
          <w:szCs w:val="32"/>
        </w:rPr>
      </w:pPr>
      <w:bookmarkStart w:id="175" w:name="_GoBack"/>
      <w:bookmarkEnd w:id="175"/>
    </w:p>
    <w:p>
      <w:pPr>
        <w:spacing w:line="600" w:lineRule="exact"/>
        <w:rPr>
          <w:rFonts w:ascii="黑体" w:hAnsi="黑体" w:eastAsia="黑体"/>
          <w:sz w:val="32"/>
          <w:szCs w:val="32"/>
        </w:rPr>
      </w:pPr>
    </w:p>
    <w:p>
      <w:pPr>
        <w:spacing w:line="600" w:lineRule="exact"/>
        <w:rPr>
          <w:rFonts w:ascii="黑体" w:hAnsi="黑体" w:eastAsia="黑体"/>
          <w:sz w:val="32"/>
          <w:szCs w:val="32"/>
        </w:rPr>
      </w:pPr>
    </w:p>
    <w:p>
      <w:pPr>
        <w:spacing w:line="600" w:lineRule="exact"/>
        <w:rPr>
          <w:rFonts w:ascii="黑体" w:hAnsi="黑体" w:eastAsia="黑体"/>
          <w:sz w:val="32"/>
          <w:szCs w:val="32"/>
        </w:rPr>
      </w:pPr>
    </w:p>
    <w:p>
      <w:pPr>
        <w:spacing w:line="600" w:lineRule="exact"/>
        <w:rPr>
          <w:rFonts w:ascii="黑体" w:hAnsi="黑体" w:eastAsia="黑体"/>
          <w:sz w:val="32"/>
          <w:szCs w:val="32"/>
        </w:rPr>
      </w:pPr>
    </w:p>
    <w:p>
      <w:pPr>
        <w:spacing w:line="600" w:lineRule="exact"/>
        <w:jc w:val="center"/>
        <w:rPr>
          <w:rFonts w:ascii="方正小标宋简体" w:hAnsi="黑体" w:eastAsia="方正小标宋简体"/>
          <w:sz w:val="44"/>
          <w:szCs w:val="44"/>
        </w:rPr>
      </w:pPr>
      <w:r>
        <w:rPr>
          <w:rFonts w:hint="eastAsia" w:ascii="方正小标宋简体" w:hAnsi="黑体" w:eastAsia="方正小标宋简体"/>
          <w:sz w:val="44"/>
          <w:szCs w:val="44"/>
        </w:rPr>
        <w:t>根河市国民经济和社会发展第十五个</w:t>
      </w:r>
    </w:p>
    <w:p>
      <w:pPr>
        <w:spacing w:line="600" w:lineRule="exact"/>
        <w:jc w:val="center"/>
        <w:rPr>
          <w:rFonts w:ascii="方正小标宋简体" w:hAnsi="黑体" w:eastAsia="方正小标宋简体"/>
          <w:sz w:val="44"/>
          <w:szCs w:val="44"/>
        </w:rPr>
      </w:pPr>
      <w:r>
        <w:rPr>
          <w:rFonts w:hint="eastAsia" w:ascii="方正小标宋简体" w:hAnsi="黑体" w:eastAsia="方正小标宋简体"/>
          <w:sz w:val="44"/>
          <w:szCs w:val="44"/>
        </w:rPr>
        <w:t>五年规划纲要</w:t>
      </w:r>
    </w:p>
    <w:p>
      <w:pPr>
        <w:spacing w:line="600" w:lineRule="exact"/>
        <w:jc w:val="center"/>
        <w:rPr>
          <w:rFonts w:ascii="楷体" w:hAnsi="楷体" w:eastAsia="楷体"/>
          <w:sz w:val="36"/>
          <w:szCs w:val="36"/>
        </w:rPr>
      </w:pPr>
    </w:p>
    <w:p>
      <w:pPr>
        <w:spacing w:line="600" w:lineRule="exact"/>
        <w:rPr>
          <w:rFonts w:ascii="黑体" w:hAnsi="黑体" w:eastAsia="黑体"/>
          <w:sz w:val="32"/>
          <w:szCs w:val="32"/>
        </w:rPr>
      </w:pPr>
    </w:p>
    <w:p>
      <w:pPr>
        <w:spacing w:line="600" w:lineRule="exact"/>
        <w:rPr>
          <w:rFonts w:ascii="黑体" w:hAnsi="黑体" w:eastAsia="黑体"/>
          <w:sz w:val="32"/>
          <w:szCs w:val="32"/>
        </w:rPr>
      </w:pPr>
    </w:p>
    <w:p>
      <w:pPr>
        <w:spacing w:line="600" w:lineRule="exact"/>
        <w:rPr>
          <w:rFonts w:ascii="黑体" w:hAnsi="黑体" w:eastAsia="黑体"/>
          <w:sz w:val="32"/>
          <w:szCs w:val="32"/>
        </w:rPr>
      </w:pPr>
    </w:p>
    <w:p>
      <w:pPr>
        <w:spacing w:line="600" w:lineRule="exact"/>
        <w:rPr>
          <w:rFonts w:ascii="黑体" w:hAnsi="黑体" w:eastAsia="黑体"/>
          <w:sz w:val="32"/>
          <w:szCs w:val="32"/>
        </w:rPr>
      </w:pPr>
    </w:p>
    <w:p>
      <w:pPr>
        <w:spacing w:line="600" w:lineRule="exact"/>
        <w:rPr>
          <w:rFonts w:ascii="黑体" w:hAnsi="黑体" w:eastAsia="黑体"/>
          <w:sz w:val="32"/>
          <w:szCs w:val="32"/>
        </w:rPr>
      </w:pPr>
    </w:p>
    <w:p>
      <w:pPr>
        <w:spacing w:line="600" w:lineRule="exact"/>
        <w:rPr>
          <w:rFonts w:ascii="黑体" w:hAnsi="黑体" w:eastAsia="黑体"/>
          <w:sz w:val="32"/>
          <w:szCs w:val="32"/>
        </w:rPr>
      </w:pPr>
    </w:p>
    <w:p>
      <w:pPr>
        <w:spacing w:line="600" w:lineRule="exact"/>
        <w:rPr>
          <w:rFonts w:ascii="黑体" w:hAnsi="黑体" w:eastAsia="黑体"/>
          <w:sz w:val="32"/>
          <w:szCs w:val="32"/>
        </w:rPr>
      </w:pPr>
    </w:p>
    <w:p>
      <w:pPr>
        <w:spacing w:line="600" w:lineRule="exact"/>
        <w:rPr>
          <w:rFonts w:ascii="黑体" w:hAnsi="黑体" w:eastAsia="黑体"/>
          <w:sz w:val="32"/>
          <w:szCs w:val="32"/>
        </w:rPr>
      </w:pPr>
    </w:p>
    <w:p>
      <w:pPr>
        <w:spacing w:line="600" w:lineRule="exact"/>
        <w:rPr>
          <w:rFonts w:ascii="黑体" w:hAnsi="黑体" w:eastAsia="黑体"/>
          <w:sz w:val="32"/>
          <w:szCs w:val="32"/>
        </w:rPr>
      </w:pPr>
    </w:p>
    <w:p>
      <w:pPr>
        <w:spacing w:line="600" w:lineRule="exact"/>
        <w:rPr>
          <w:rFonts w:ascii="黑体" w:hAnsi="黑体" w:eastAsia="黑体"/>
          <w:sz w:val="32"/>
          <w:szCs w:val="32"/>
        </w:rPr>
      </w:pPr>
    </w:p>
    <w:p>
      <w:pPr>
        <w:spacing w:line="600" w:lineRule="exact"/>
        <w:rPr>
          <w:rFonts w:ascii="楷体_GB2312" w:hAnsi="黑体" w:eastAsia="楷体_GB2312"/>
          <w:b/>
          <w:bCs/>
          <w:sz w:val="32"/>
          <w:szCs w:val="32"/>
        </w:rPr>
      </w:pPr>
    </w:p>
    <w:p>
      <w:pPr>
        <w:spacing w:line="600" w:lineRule="exact"/>
        <w:rPr>
          <w:rFonts w:ascii="楷体_GB2312" w:hAnsi="黑体" w:eastAsia="楷体_GB2312"/>
          <w:b/>
          <w:bCs/>
          <w:sz w:val="32"/>
          <w:szCs w:val="32"/>
        </w:rPr>
      </w:pPr>
    </w:p>
    <w:p>
      <w:pPr>
        <w:spacing w:line="600" w:lineRule="exact"/>
        <w:rPr>
          <w:rFonts w:ascii="楷体_GB2312" w:hAnsi="黑体" w:eastAsia="楷体_GB2312"/>
          <w:b/>
          <w:bCs/>
          <w:sz w:val="32"/>
          <w:szCs w:val="32"/>
        </w:rPr>
      </w:pPr>
    </w:p>
    <w:p>
      <w:pPr>
        <w:spacing w:line="600" w:lineRule="exact"/>
        <w:jc w:val="center"/>
        <w:rPr>
          <w:rFonts w:ascii="楷体" w:hAnsi="楷体" w:eastAsia="楷体" w:cs="楷体"/>
          <w:b/>
          <w:bCs/>
          <w:sz w:val="32"/>
          <w:szCs w:val="32"/>
        </w:rPr>
      </w:pPr>
      <w:r>
        <w:rPr>
          <w:rFonts w:hint="eastAsia" w:ascii="楷体" w:hAnsi="楷体" w:eastAsia="楷体" w:cs="楷体"/>
          <w:b/>
          <w:bCs/>
          <w:sz w:val="32"/>
          <w:szCs w:val="32"/>
        </w:rPr>
        <w:t>2026年5月</w:t>
      </w:r>
    </w:p>
    <w:p>
      <w:pPr>
        <w:spacing w:line="600" w:lineRule="exact"/>
        <w:rPr>
          <w:rFonts w:ascii="黑体" w:hAnsi="黑体" w:eastAsia="黑体"/>
          <w:sz w:val="32"/>
          <w:szCs w:val="32"/>
        </w:rPr>
      </w:pPr>
    </w:p>
    <w:p>
      <w:pPr>
        <w:spacing w:line="600" w:lineRule="exact"/>
        <w:rPr>
          <w:rFonts w:ascii="黑体" w:hAnsi="黑体" w:eastAsia="黑体"/>
          <w:sz w:val="32"/>
          <w:szCs w:val="32"/>
        </w:rPr>
      </w:pPr>
    </w:p>
    <w:p>
      <w:pPr>
        <w:spacing w:line="600" w:lineRule="exact"/>
        <w:rPr>
          <w:rFonts w:ascii="黑体" w:hAnsi="黑体" w:eastAsia="黑体"/>
          <w:sz w:val="32"/>
          <w:szCs w:val="32"/>
        </w:rPr>
      </w:pPr>
    </w:p>
    <w:p>
      <w:pPr>
        <w:spacing w:line="600" w:lineRule="exact"/>
        <w:rPr>
          <w:rFonts w:ascii="黑体" w:hAnsi="黑体" w:eastAsia="黑体"/>
          <w:sz w:val="32"/>
          <w:szCs w:val="32"/>
        </w:rPr>
      </w:pPr>
    </w:p>
    <w:p>
      <w:pPr>
        <w:spacing w:line="600" w:lineRule="exact"/>
        <w:rPr>
          <w:rFonts w:ascii="黑体" w:hAnsi="黑体" w:eastAsia="黑体"/>
          <w:sz w:val="32"/>
          <w:szCs w:val="32"/>
        </w:rPr>
        <w:sectPr>
          <w:pgSz w:w="11906" w:h="16838"/>
          <w:pgMar w:top="1440" w:right="1800" w:bottom="1440" w:left="1800" w:header="851" w:footer="794" w:gutter="0"/>
          <w:pgNumType w:fmt="numberInDash"/>
          <w:cols w:space="720" w:num="1"/>
          <w:docGrid w:type="lines" w:linePitch="312" w:charSpace="0"/>
        </w:sectPr>
      </w:pPr>
    </w:p>
    <w:p>
      <w:pPr>
        <w:pStyle w:val="35"/>
        <w:jc w:val="center"/>
        <w:rPr>
          <w:rFonts w:ascii="方正小标宋简体" w:eastAsia="方正小标宋简体"/>
          <w:sz w:val="44"/>
          <w:szCs w:val="44"/>
        </w:rPr>
      </w:pPr>
      <w:r>
        <w:rPr>
          <w:rFonts w:hint="eastAsia" w:ascii="方正小标宋简体" w:eastAsia="方正小标宋简体"/>
          <w:sz w:val="44"/>
          <w:szCs w:val="44"/>
        </w:rPr>
        <w:t>目  录</w:t>
      </w:r>
    </w:p>
    <w:p>
      <w:pPr>
        <w:pStyle w:val="35"/>
        <w:tabs>
          <w:tab w:val="center" w:leader="dot" w:pos="8190"/>
        </w:tabs>
        <w:spacing w:line="240" w:lineRule="auto"/>
        <w:jc w:val="left"/>
        <w:rPr>
          <w:rFonts w:ascii="黑体" w:hAnsi="黑体" w:eastAsia="黑体"/>
          <w:b/>
          <w:bCs/>
          <w:sz w:val="30"/>
          <w:szCs w:val="30"/>
        </w:rPr>
      </w:pPr>
    </w:p>
    <w:p>
      <w:pPr>
        <w:pStyle w:val="35"/>
        <w:tabs>
          <w:tab w:val="center" w:leader="dot" w:pos="8190"/>
        </w:tabs>
        <w:spacing w:line="240" w:lineRule="auto"/>
        <w:jc w:val="left"/>
        <w:rPr>
          <w:rFonts w:ascii="黑体" w:hAnsi="黑体" w:eastAsia="黑体"/>
          <w:b/>
          <w:bCs/>
          <w:sz w:val="30"/>
          <w:szCs w:val="30"/>
        </w:rPr>
      </w:pPr>
      <w:r>
        <w:rPr>
          <w:rFonts w:hint="eastAsia" w:ascii="方正小标宋简体" w:hAnsi="黑体" w:eastAsia="方正小标宋简体"/>
          <w:sz w:val="30"/>
          <w:szCs w:val="30"/>
        </w:rPr>
        <w:t>前  言</w:t>
      </w:r>
      <w:r>
        <w:rPr>
          <w:rFonts w:hint="eastAsia" w:ascii="黑体" w:hAnsi="黑体" w:eastAsia="黑体"/>
          <w:sz w:val="30"/>
          <w:szCs w:val="30"/>
        </w:rPr>
        <w:tab/>
      </w:r>
      <w:r>
        <w:rPr>
          <w:rFonts w:hint="eastAsia" w:ascii="方正小标宋简体" w:hAnsi="黑体" w:eastAsia="方正小标宋简体"/>
          <w:sz w:val="30"/>
          <w:szCs w:val="30"/>
        </w:rPr>
        <w:t>Ⅰ</w:t>
      </w:r>
    </w:p>
    <w:p>
      <w:pPr>
        <w:pStyle w:val="35"/>
        <w:tabs>
          <w:tab w:val="center" w:leader="dot" w:pos="8190"/>
        </w:tabs>
        <w:spacing w:line="240" w:lineRule="auto"/>
        <w:jc w:val="left"/>
        <w:rPr>
          <w:rFonts w:ascii="方正小标宋简体" w:hAnsi="黑体" w:eastAsia="方正小标宋简体"/>
          <w:sz w:val="30"/>
          <w:szCs w:val="30"/>
        </w:rPr>
      </w:pPr>
      <w:r>
        <w:rPr>
          <w:rFonts w:hint="eastAsia" w:ascii="方正小标宋简体" w:hAnsi="黑体" w:eastAsia="方正小标宋简体"/>
          <w:sz w:val="30"/>
          <w:szCs w:val="30"/>
        </w:rPr>
        <w:t>第一章  发展环境</w:t>
      </w:r>
      <w:r>
        <w:rPr>
          <w:rFonts w:hint="eastAsia" w:ascii="方正小标宋简体" w:hAnsi="黑体" w:eastAsia="方正小标宋简体"/>
          <w:sz w:val="30"/>
          <w:szCs w:val="30"/>
        </w:rPr>
        <w:tab/>
      </w:r>
      <w:r>
        <w:rPr>
          <w:rFonts w:hint="eastAsia" w:ascii="方正小标宋简体" w:hAnsi="黑体" w:eastAsia="方正小标宋简体"/>
          <w:sz w:val="30"/>
          <w:szCs w:val="30"/>
        </w:rPr>
        <w:t>1</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第一节 “十四五”时期经济社会发展成就</w:t>
      </w:r>
      <w:r>
        <w:rPr>
          <w:rFonts w:hint="eastAsia" w:ascii="仿宋_GB2312" w:eastAsia="仿宋_GB2312"/>
          <w:sz w:val="30"/>
          <w:szCs w:val="30"/>
        </w:rPr>
        <w:tab/>
      </w:r>
      <w:r>
        <w:rPr>
          <w:rFonts w:hint="eastAsia" w:ascii="仿宋_GB2312" w:eastAsia="仿宋_GB2312"/>
          <w:sz w:val="30"/>
          <w:szCs w:val="30"/>
        </w:rPr>
        <w:t>1</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第二节 “十五五”时期面临的形势</w:t>
      </w:r>
      <w:r>
        <w:rPr>
          <w:rFonts w:hint="eastAsia" w:ascii="仿宋_GB2312" w:eastAsia="仿宋_GB2312"/>
          <w:sz w:val="30"/>
          <w:szCs w:val="30"/>
        </w:rPr>
        <w:tab/>
      </w:r>
      <w:r>
        <w:rPr>
          <w:rFonts w:hint="eastAsia" w:ascii="仿宋_GB2312" w:eastAsia="仿宋_GB2312"/>
          <w:sz w:val="30"/>
          <w:szCs w:val="30"/>
        </w:rPr>
        <w:t>6</w:t>
      </w:r>
    </w:p>
    <w:p>
      <w:pPr>
        <w:pStyle w:val="35"/>
        <w:tabs>
          <w:tab w:val="center" w:leader="dot" w:pos="8190"/>
        </w:tabs>
        <w:spacing w:line="240" w:lineRule="auto"/>
        <w:jc w:val="left"/>
        <w:rPr>
          <w:rFonts w:ascii="方正小标宋简体" w:hAnsi="黑体" w:eastAsia="方正小标宋简体"/>
          <w:sz w:val="30"/>
          <w:szCs w:val="30"/>
        </w:rPr>
      </w:pPr>
      <w:r>
        <w:rPr>
          <w:rFonts w:hint="eastAsia" w:ascii="方正小标宋简体" w:hAnsi="黑体" w:eastAsia="方正小标宋简体"/>
          <w:sz w:val="30"/>
          <w:szCs w:val="30"/>
        </w:rPr>
        <w:t>第二章  “十五五”经济社会发展的总体要求和主要目标</w:t>
      </w:r>
      <w:r>
        <w:rPr>
          <w:rFonts w:hint="eastAsia" w:ascii="方正小标宋简体" w:hAnsi="黑体" w:eastAsia="方正小标宋简体"/>
          <w:sz w:val="30"/>
          <w:szCs w:val="30"/>
        </w:rPr>
        <w:tab/>
      </w:r>
      <w:r>
        <w:rPr>
          <w:rFonts w:hint="eastAsia" w:ascii="方正小标宋简体" w:hAnsi="黑体" w:eastAsia="方正小标宋简体"/>
          <w:sz w:val="30"/>
          <w:szCs w:val="30"/>
        </w:rPr>
        <w:t>8</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第一节 指导思想</w:t>
      </w:r>
      <w:r>
        <w:rPr>
          <w:rFonts w:hint="eastAsia" w:ascii="仿宋_GB2312" w:eastAsia="仿宋_GB2312"/>
          <w:sz w:val="30"/>
          <w:szCs w:val="30"/>
        </w:rPr>
        <w:tab/>
      </w:r>
      <w:r>
        <w:rPr>
          <w:rFonts w:hint="eastAsia" w:ascii="仿宋_GB2312" w:eastAsia="仿宋_GB2312"/>
          <w:sz w:val="30"/>
          <w:szCs w:val="30"/>
        </w:rPr>
        <w:t>8</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第二节 基本原则</w:t>
      </w:r>
      <w:r>
        <w:rPr>
          <w:rFonts w:hint="eastAsia" w:ascii="仿宋_GB2312" w:eastAsia="仿宋_GB2312"/>
          <w:sz w:val="30"/>
          <w:szCs w:val="30"/>
        </w:rPr>
        <w:tab/>
      </w:r>
      <w:r>
        <w:rPr>
          <w:rFonts w:hint="eastAsia" w:ascii="仿宋_GB2312" w:eastAsia="仿宋_GB2312"/>
          <w:sz w:val="30"/>
          <w:szCs w:val="30"/>
        </w:rPr>
        <w:t>8</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第三节 主要目标</w:t>
      </w:r>
      <w:r>
        <w:rPr>
          <w:rFonts w:hint="eastAsia" w:ascii="仿宋_GB2312" w:eastAsia="仿宋_GB2312"/>
          <w:sz w:val="30"/>
          <w:szCs w:val="30"/>
        </w:rPr>
        <w:tab/>
      </w:r>
      <w:r>
        <w:rPr>
          <w:rFonts w:hint="eastAsia" w:ascii="仿宋_GB2312" w:eastAsia="仿宋_GB2312"/>
          <w:sz w:val="30"/>
          <w:szCs w:val="30"/>
        </w:rPr>
        <w:t>10</w:t>
      </w:r>
    </w:p>
    <w:p>
      <w:pPr>
        <w:pStyle w:val="35"/>
        <w:tabs>
          <w:tab w:val="center" w:leader="dot" w:pos="8190"/>
        </w:tabs>
        <w:spacing w:line="240" w:lineRule="auto"/>
        <w:jc w:val="left"/>
        <w:rPr>
          <w:rFonts w:ascii="方正小标宋简体" w:hAnsi="黑体" w:eastAsia="方正小标宋简体"/>
          <w:sz w:val="30"/>
          <w:szCs w:val="30"/>
        </w:rPr>
      </w:pPr>
      <w:r>
        <w:rPr>
          <w:rFonts w:hint="eastAsia" w:ascii="方正小标宋简体" w:hAnsi="黑体" w:eastAsia="方正小标宋简体"/>
          <w:sz w:val="30"/>
          <w:szCs w:val="30"/>
        </w:rPr>
        <w:t>第三章  推进中华民族共同体建设 汇聚高质量发展强大合力</w:t>
      </w:r>
      <w:r>
        <w:rPr>
          <w:rFonts w:hint="eastAsia" w:ascii="方正小标宋简体" w:hAnsi="黑体" w:eastAsia="方正小标宋简体"/>
          <w:sz w:val="30"/>
          <w:szCs w:val="30"/>
        </w:rPr>
        <w:tab/>
      </w:r>
      <w:r>
        <w:rPr>
          <w:rFonts w:hint="eastAsia" w:ascii="方正小标宋简体" w:hAnsi="黑体" w:eastAsia="方正小标宋简体"/>
          <w:sz w:val="30"/>
          <w:szCs w:val="30"/>
        </w:rPr>
        <w:t>13</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第一节 健全贯彻铸牢中华民族共同体意识主线机制</w:t>
      </w:r>
      <w:r>
        <w:rPr>
          <w:rFonts w:hint="eastAsia" w:ascii="仿宋_GB2312" w:eastAsia="仿宋_GB2312"/>
          <w:sz w:val="30"/>
          <w:szCs w:val="30"/>
        </w:rPr>
        <w:tab/>
      </w:r>
      <w:r>
        <w:rPr>
          <w:rFonts w:hint="eastAsia" w:ascii="仿宋_GB2312" w:eastAsia="仿宋_GB2312"/>
          <w:sz w:val="30"/>
          <w:szCs w:val="30"/>
        </w:rPr>
        <w:t>13</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第二节 加强铸牢中华民族共同体意识宣传教育</w:t>
      </w:r>
      <w:r>
        <w:rPr>
          <w:rFonts w:hint="eastAsia" w:ascii="仿宋_GB2312" w:eastAsia="仿宋_GB2312"/>
          <w:sz w:val="30"/>
          <w:szCs w:val="30"/>
        </w:rPr>
        <w:tab/>
      </w:r>
      <w:r>
        <w:rPr>
          <w:rFonts w:hint="eastAsia" w:ascii="仿宋_GB2312" w:eastAsia="仿宋_GB2312"/>
          <w:sz w:val="30"/>
          <w:szCs w:val="30"/>
        </w:rPr>
        <w:t>13</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第三节 深入开展民族团结进步创建</w:t>
      </w:r>
      <w:r>
        <w:rPr>
          <w:rFonts w:hint="eastAsia" w:ascii="仿宋_GB2312" w:eastAsia="仿宋_GB2312"/>
          <w:sz w:val="30"/>
          <w:szCs w:val="30"/>
        </w:rPr>
        <w:tab/>
      </w:r>
      <w:r>
        <w:rPr>
          <w:rFonts w:hint="eastAsia" w:ascii="仿宋_GB2312" w:eastAsia="仿宋_GB2312"/>
          <w:sz w:val="30"/>
          <w:szCs w:val="30"/>
        </w:rPr>
        <w:t>14</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第四节 提升民族事务治理能力现代化水平</w:t>
      </w:r>
      <w:r>
        <w:rPr>
          <w:rFonts w:hint="eastAsia" w:ascii="仿宋_GB2312" w:eastAsia="仿宋_GB2312"/>
          <w:sz w:val="30"/>
          <w:szCs w:val="30"/>
        </w:rPr>
        <w:tab/>
      </w:r>
      <w:r>
        <w:rPr>
          <w:rFonts w:hint="eastAsia" w:ascii="仿宋_GB2312" w:eastAsia="仿宋_GB2312"/>
          <w:sz w:val="30"/>
          <w:szCs w:val="30"/>
        </w:rPr>
        <w:t>14</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第五节 发展全过程人民民主</w:t>
      </w:r>
      <w:r>
        <w:rPr>
          <w:rFonts w:hint="eastAsia" w:ascii="仿宋_GB2312" w:eastAsia="仿宋_GB2312"/>
          <w:sz w:val="30"/>
          <w:szCs w:val="30"/>
        </w:rPr>
        <w:tab/>
      </w:r>
      <w:r>
        <w:rPr>
          <w:rFonts w:hint="eastAsia" w:ascii="仿宋_GB2312" w:eastAsia="仿宋_GB2312"/>
          <w:sz w:val="30"/>
          <w:szCs w:val="30"/>
        </w:rPr>
        <w:t>14</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第六节 推进法治根河建设</w:t>
      </w:r>
      <w:r>
        <w:rPr>
          <w:rFonts w:hint="eastAsia" w:ascii="仿宋_GB2312" w:eastAsia="仿宋_GB2312"/>
          <w:sz w:val="30"/>
          <w:szCs w:val="30"/>
        </w:rPr>
        <w:tab/>
      </w:r>
      <w:r>
        <w:rPr>
          <w:rFonts w:hint="eastAsia" w:ascii="仿宋_GB2312" w:eastAsia="仿宋_GB2312"/>
          <w:sz w:val="30"/>
          <w:szCs w:val="30"/>
        </w:rPr>
        <w:t>16</w:t>
      </w:r>
    </w:p>
    <w:p>
      <w:pPr>
        <w:pStyle w:val="35"/>
        <w:tabs>
          <w:tab w:val="center" w:leader="dot" w:pos="8190"/>
        </w:tabs>
        <w:spacing w:line="0" w:lineRule="atLeast"/>
        <w:ind w:left="1200" w:hanging="1200" w:hangingChars="400"/>
        <w:jc w:val="left"/>
        <w:rPr>
          <w:rFonts w:ascii="方正小标宋简体" w:hAnsi="黑体" w:eastAsia="方正小标宋简体"/>
          <w:sz w:val="30"/>
          <w:szCs w:val="30"/>
        </w:rPr>
      </w:pPr>
      <w:r>
        <w:rPr>
          <w:rFonts w:hint="eastAsia" w:ascii="方正小标宋简体" w:hAnsi="黑体" w:eastAsia="方正小标宋简体"/>
          <w:sz w:val="30"/>
          <w:szCs w:val="30"/>
        </w:rPr>
        <w:t>第四章  坚持生态优先、绿色发展 全面提升建设北方重要生态安全屏障水平</w:t>
      </w:r>
      <w:r>
        <w:rPr>
          <w:rFonts w:hint="eastAsia" w:ascii="方正小标宋简体" w:hAnsi="黑体" w:eastAsia="方正小标宋简体"/>
          <w:sz w:val="30"/>
          <w:szCs w:val="30"/>
        </w:rPr>
        <w:tab/>
      </w:r>
      <w:r>
        <w:rPr>
          <w:rFonts w:hint="eastAsia" w:ascii="方正小标宋简体" w:hAnsi="黑体" w:eastAsia="方正小标宋简体"/>
          <w:sz w:val="30"/>
          <w:szCs w:val="30"/>
        </w:rPr>
        <w:t>18</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第一节 持续巩固提升生态系统质量</w:t>
      </w:r>
      <w:r>
        <w:rPr>
          <w:rFonts w:hint="eastAsia" w:ascii="仿宋_GB2312" w:eastAsia="仿宋_GB2312"/>
          <w:sz w:val="30"/>
          <w:szCs w:val="30"/>
        </w:rPr>
        <w:tab/>
      </w:r>
      <w:r>
        <w:rPr>
          <w:rFonts w:hint="eastAsia" w:ascii="仿宋_GB2312" w:eastAsia="仿宋_GB2312"/>
          <w:sz w:val="30"/>
          <w:szCs w:val="30"/>
        </w:rPr>
        <w:t>18</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第二节 深入打好环境污染防治攻坚战</w:t>
      </w:r>
      <w:r>
        <w:rPr>
          <w:rFonts w:hint="eastAsia" w:ascii="仿宋_GB2312" w:eastAsia="仿宋_GB2312"/>
          <w:sz w:val="30"/>
          <w:szCs w:val="30"/>
        </w:rPr>
        <w:tab/>
      </w:r>
      <w:r>
        <w:rPr>
          <w:rFonts w:hint="eastAsia" w:ascii="仿宋_GB2312" w:eastAsia="仿宋_GB2312"/>
          <w:sz w:val="30"/>
          <w:szCs w:val="30"/>
        </w:rPr>
        <w:t>20</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第三节 加快推动绿色低碳循环发展</w:t>
      </w:r>
      <w:r>
        <w:rPr>
          <w:rFonts w:hint="eastAsia" w:ascii="仿宋_GB2312" w:eastAsia="仿宋_GB2312"/>
          <w:sz w:val="30"/>
          <w:szCs w:val="30"/>
        </w:rPr>
        <w:tab/>
      </w:r>
      <w:r>
        <w:rPr>
          <w:rFonts w:hint="eastAsia" w:ascii="仿宋_GB2312" w:eastAsia="仿宋_GB2312"/>
          <w:sz w:val="30"/>
          <w:szCs w:val="30"/>
        </w:rPr>
        <w:t>21</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第四节 健全生态环境治理体系</w:t>
      </w:r>
      <w:r>
        <w:rPr>
          <w:rFonts w:hint="eastAsia" w:ascii="仿宋_GB2312" w:eastAsia="仿宋_GB2312"/>
          <w:sz w:val="30"/>
          <w:szCs w:val="30"/>
        </w:rPr>
        <w:tab/>
      </w:r>
      <w:r>
        <w:rPr>
          <w:rFonts w:hint="eastAsia" w:ascii="仿宋_GB2312" w:eastAsia="仿宋_GB2312"/>
          <w:sz w:val="30"/>
          <w:szCs w:val="30"/>
        </w:rPr>
        <w:t>23</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第五节 加快生态价值转化</w:t>
      </w:r>
      <w:r>
        <w:rPr>
          <w:rFonts w:hint="eastAsia" w:ascii="仿宋_GB2312" w:eastAsia="仿宋_GB2312"/>
          <w:sz w:val="30"/>
          <w:szCs w:val="30"/>
        </w:rPr>
        <w:tab/>
      </w:r>
      <w:r>
        <w:rPr>
          <w:rFonts w:hint="eastAsia" w:ascii="仿宋_GB2312" w:eastAsia="仿宋_GB2312"/>
          <w:sz w:val="30"/>
          <w:szCs w:val="30"/>
        </w:rPr>
        <w:t>24</w:t>
      </w:r>
    </w:p>
    <w:p>
      <w:pPr>
        <w:pStyle w:val="35"/>
        <w:tabs>
          <w:tab w:val="center" w:leader="dot" w:pos="8190"/>
        </w:tabs>
        <w:spacing w:line="240" w:lineRule="auto"/>
        <w:ind w:left="1200" w:hanging="1200" w:hangingChars="400"/>
        <w:jc w:val="left"/>
        <w:rPr>
          <w:rFonts w:ascii="方正小标宋简体" w:hAnsi="黑体" w:eastAsia="方正小标宋简体"/>
          <w:sz w:val="30"/>
          <w:szCs w:val="30"/>
        </w:rPr>
      </w:pPr>
      <w:r>
        <w:rPr>
          <w:rFonts w:hint="eastAsia" w:ascii="方正小标宋简体" w:hAnsi="黑体" w:eastAsia="方正小标宋简体"/>
          <w:sz w:val="30"/>
          <w:szCs w:val="30"/>
        </w:rPr>
        <w:t>第五章  统筹高质量发展和高水平安全 夯实筑牢祖国北疆安全稳定屏障基础</w:t>
      </w:r>
      <w:r>
        <w:rPr>
          <w:rFonts w:hint="eastAsia" w:ascii="方正小标宋简体" w:hAnsi="黑体" w:eastAsia="方正小标宋简体"/>
          <w:sz w:val="30"/>
          <w:szCs w:val="30"/>
        </w:rPr>
        <w:tab/>
      </w:r>
      <w:r>
        <w:rPr>
          <w:rFonts w:hint="eastAsia" w:ascii="方正小标宋简体" w:hAnsi="黑体" w:eastAsia="方正小标宋简体"/>
          <w:sz w:val="30"/>
          <w:szCs w:val="30"/>
        </w:rPr>
        <w:t>26</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第一节 坚决维护国家政治安全</w:t>
      </w:r>
      <w:r>
        <w:rPr>
          <w:rFonts w:hint="eastAsia" w:ascii="仿宋_GB2312" w:eastAsia="仿宋_GB2312"/>
          <w:sz w:val="30"/>
          <w:szCs w:val="30"/>
        </w:rPr>
        <w:tab/>
      </w:r>
      <w:r>
        <w:rPr>
          <w:rFonts w:hint="eastAsia" w:ascii="仿宋_GB2312" w:eastAsia="仿宋_GB2312"/>
          <w:sz w:val="30"/>
          <w:szCs w:val="30"/>
        </w:rPr>
        <w:t>26</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第二节 强化国防动员体系建设</w:t>
      </w:r>
      <w:r>
        <w:rPr>
          <w:rFonts w:hint="eastAsia" w:ascii="仿宋_GB2312" w:eastAsia="仿宋_GB2312"/>
          <w:sz w:val="30"/>
          <w:szCs w:val="30"/>
        </w:rPr>
        <w:tab/>
      </w:r>
      <w:r>
        <w:rPr>
          <w:rFonts w:hint="eastAsia" w:ascii="仿宋_GB2312" w:eastAsia="仿宋_GB2312"/>
          <w:sz w:val="30"/>
          <w:szCs w:val="30"/>
        </w:rPr>
        <w:t>26</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第三节 增强经济安全保障</w:t>
      </w:r>
      <w:r>
        <w:rPr>
          <w:rFonts w:hint="eastAsia" w:ascii="仿宋_GB2312" w:eastAsia="仿宋_GB2312"/>
          <w:sz w:val="30"/>
          <w:szCs w:val="30"/>
        </w:rPr>
        <w:tab/>
      </w:r>
      <w:r>
        <w:rPr>
          <w:rFonts w:hint="eastAsia" w:ascii="仿宋_GB2312" w:eastAsia="仿宋_GB2312"/>
          <w:sz w:val="30"/>
          <w:szCs w:val="30"/>
        </w:rPr>
        <w:t>27</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第四节 提升公共安全治理水平</w:t>
      </w:r>
      <w:r>
        <w:rPr>
          <w:rFonts w:hint="eastAsia" w:ascii="仿宋_GB2312" w:eastAsia="仿宋_GB2312"/>
          <w:sz w:val="30"/>
          <w:szCs w:val="30"/>
        </w:rPr>
        <w:tab/>
      </w:r>
      <w:r>
        <w:rPr>
          <w:rFonts w:hint="eastAsia" w:ascii="仿宋_GB2312" w:eastAsia="仿宋_GB2312"/>
          <w:sz w:val="30"/>
          <w:szCs w:val="30"/>
        </w:rPr>
        <w:t>28</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第五节 创新社会治理体制机制</w:t>
      </w:r>
      <w:r>
        <w:rPr>
          <w:rFonts w:hint="eastAsia" w:ascii="仿宋_GB2312" w:eastAsia="仿宋_GB2312"/>
          <w:sz w:val="30"/>
          <w:szCs w:val="30"/>
        </w:rPr>
        <w:tab/>
      </w:r>
      <w:r>
        <w:rPr>
          <w:rFonts w:hint="eastAsia" w:ascii="仿宋_GB2312" w:eastAsia="仿宋_GB2312"/>
          <w:sz w:val="30"/>
          <w:szCs w:val="30"/>
        </w:rPr>
        <w:t>30</w:t>
      </w:r>
    </w:p>
    <w:p>
      <w:pPr>
        <w:pStyle w:val="35"/>
        <w:tabs>
          <w:tab w:val="center" w:leader="dot" w:pos="8190"/>
        </w:tabs>
        <w:spacing w:line="240" w:lineRule="auto"/>
        <w:jc w:val="left"/>
        <w:rPr>
          <w:rFonts w:ascii="方正小标宋简体" w:hAnsi="黑体" w:eastAsia="方正小标宋简体"/>
          <w:sz w:val="30"/>
          <w:szCs w:val="30"/>
        </w:rPr>
      </w:pPr>
      <w:r>
        <w:rPr>
          <w:rFonts w:hint="eastAsia" w:ascii="方正小标宋简体" w:hAnsi="黑体" w:eastAsia="方正小标宋简体"/>
          <w:sz w:val="30"/>
          <w:szCs w:val="30"/>
        </w:rPr>
        <w:t>第六章  构建安全高效能源体系 提升能源保障能力</w:t>
      </w:r>
      <w:r>
        <w:rPr>
          <w:rFonts w:hint="eastAsia" w:ascii="方正小标宋简体" w:hAnsi="黑体" w:eastAsia="方正小标宋简体"/>
          <w:sz w:val="30"/>
          <w:szCs w:val="30"/>
        </w:rPr>
        <w:tab/>
      </w:r>
      <w:r>
        <w:rPr>
          <w:rFonts w:hint="eastAsia" w:ascii="方正小标宋简体" w:hAnsi="黑体" w:eastAsia="方正小标宋简体"/>
          <w:sz w:val="30"/>
          <w:szCs w:val="30"/>
        </w:rPr>
        <w:t>32</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第一节 强化煤电兜底保障作用</w:t>
      </w:r>
      <w:r>
        <w:rPr>
          <w:rFonts w:hint="eastAsia" w:ascii="仿宋_GB2312" w:eastAsia="仿宋_GB2312"/>
          <w:sz w:val="30"/>
          <w:szCs w:val="30"/>
        </w:rPr>
        <w:tab/>
      </w:r>
      <w:r>
        <w:rPr>
          <w:rFonts w:hint="eastAsia" w:ascii="仿宋_GB2312" w:eastAsia="仿宋_GB2312"/>
          <w:sz w:val="30"/>
          <w:szCs w:val="30"/>
        </w:rPr>
        <w:t>32</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第二节 构建现代新型电力系统</w:t>
      </w:r>
      <w:r>
        <w:rPr>
          <w:rFonts w:hint="eastAsia" w:ascii="仿宋_GB2312" w:eastAsia="仿宋_GB2312"/>
          <w:sz w:val="30"/>
          <w:szCs w:val="30"/>
        </w:rPr>
        <w:tab/>
      </w:r>
      <w:r>
        <w:rPr>
          <w:rFonts w:hint="eastAsia" w:ascii="仿宋_GB2312" w:eastAsia="仿宋_GB2312"/>
          <w:sz w:val="30"/>
          <w:szCs w:val="30"/>
        </w:rPr>
        <w:t>32</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第三节 加快新能源产业提升发展</w:t>
      </w:r>
      <w:r>
        <w:rPr>
          <w:rFonts w:hint="eastAsia" w:ascii="仿宋_GB2312" w:eastAsia="仿宋_GB2312"/>
          <w:sz w:val="30"/>
          <w:szCs w:val="30"/>
        </w:rPr>
        <w:tab/>
      </w:r>
      <w:r>
        <w:rPr>
          <w:rFonts w:hint="eastAsia" w:ascii="仿宋_GB2312" w:eastAsia="仿宋_GB2312"/>
          <w:sz w:val="30"/>
          <w:szCs w:val="30"/>
        </w:rPr>
        <w:t>32</w:t>
      </w:r>
    </w:p>
    <w:p>
      <w:pPr>
        <w:pStyle w:val="35"/>
        <w:tabs>
          <w:tab w:val="center" w:leader="dot" w:pos="8190"/>
        </w:tabs>
        <w:spacing w:line="0" w:lineRule="atLeast"/>
        <w:ind w:left="1200" w:hanging="1200" w:hangingChars="400"/>
        <w:jc w:val="left"/>
        <w:rPr>
          <w:rFonts w:ascii="方正小标宋简体" w:hAnsi="黑体" w:eastAsia="方正小标宋简体"/>
          <w:sz w:val="30"/>
          <w:szCs w:val="30"/>
        </w:rPr>
      </w:pPr>
      <w:r>
        <w:rPr>
          <w:rFonts w:hint="eastAsia" w:ascii="方正小标宋简体" w:hAnsi="黑体" w:eastAsia="方正小标宋简体"/>
          <w:sz w:val="30"/>
          <w:szCs w:val="30"/>
        </w:rPr>
        <w:t>第七章  扎实推进农牧业提质增效发展 扩大特色优质农畜林产 品供给</w:t>
      </w:r>
      <w:r>
        <w:rPr>
          <w:rFonts w:hint="eastAsia" w:ascii="方正小标宋简体" w:hAnsi="黑体" w:eastAsia="方正小标宋简体"/>
          <w:sz w:val="30"/>
          <w:szCs w:val="30"/>
        </w:rPr>
        <w:tab/>
      </w:r>
      <w:r>
        <w:rPr>
          <w:rFonts w:hint="eastAsia" w:ascii="方正小标宋简体" w:hAnsi="黑体" w:eastAsia="方正小标宋简体"/>
          <w:sz w:val="30"/>
          <w:szCs w:val="30"/>
        </w:rPr>
        <w:t>33</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第一节 夯实农牧业发展基础</w:t>
      </w:r>
      <w:r>
        <w:rPr>
          <w:rFonts w:hint="eastAsia" w:ascii="仿宋_GB2312" w:eastAsia="仿宋_GB2312"/>
          <w:sz w:val="30"/>
          <w:szCs w:val="30"/>
        </w:rPr>
        <w:tab/>
      </w:r>
      <w:r>
        <w:rPr>
          <w:rFonts w:hint="eastAsia" w:ascii="仿宋_GB2312" w:eastAsia="仿宋_GB2312"/>
          <w:sz w:val="30"/>
          <w:szCs w:val="30"/>
        </w:rPr>
        <w:t>33</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第二节 优化特色养殖业</w:t>
      </w:r>
      <w:r>
        <w:rPr>
          <w:rFonts w:hint="eastAsia" w:ascii="仿宋_GB2312" w:eastAsia="仿宋_GB2312"/>
          <w:sz w:val="30"/>
          <w:szCs w:val="30"/>
        </w:rPr>
        <w:tab/>
      </w:r>
      <w:r>
        <w:rPr>
          <w:rFonts w:hint="eastAsia" w:ascii="仿宋_GB2312" w:eastAsia="仿宋_GB2312"/>
          <w:sz w:val="30"/>
          <w:szCs w:val="30"/>
        </w:rPr>
        <w:t>33</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第三节 壮大特色种植业</w:t>
      </w:r>
      <w:r>
        <w:rPr>
          <w:rFonts w:hint="eastAsia" w:ascii="仿宋_GB2312" w:eastAsia="仿宋_GB2312"/>
          <w:sz w:val="30"/>
          <w:szCs w:val="30"/>
        </w:rPr>
        <w:tab/>
      </w:r>
      <w:r>
        <w:rPr>
          <w:rFonts w:hint="eastAsia" w:ascii="仿宋_GB2312" w:eastAsia="仿宋_GB2312"/>
          <w:sz w:val="30"/>
          <w:szCs w:val="30"/>
        </w:rPr>
        <w:t>34</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第四节 推动特色林下资源加工转化</w:t>
      </w:r>
      <w:r>
        <w:rPr>
          <w:rFonts w:hint="eastAsia" w:ascii="仿宋_GB2312" w:eastAsia="仿宋_GB2312"/>
          <w:sz w:val="30"/>
          <w:szCs w:val="30"/>
        </w:rPr>
        <w:tab/>
      </w:r>
      <w:r>
        <w:rPr>
          <w:rFonts w:hint="eastAsia" w:ascii="仿宋_GB2312" w:eastAsia="仿宋_GB2312"/>
          <w:sz w:val="30"/>
          <w:szCs w:val="30"/>
        </w:rPr>
        <w:t>34</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第五节 提升产品质量和市场营销能力</w:t>
      </w:r>
      <w:r>
        <w:rPr>
          <w:rFonts w:hint="eastAsia" w:ascii="仿宋_GB2312" w:eastAsia="仿宋_GB2312"/>
          <w:sz w:val="30"/>
          <w:szCs w:val="30"/>
        </w:rPr>
        <w:tab/>
      </w:r>
      <w:r>
        <w:rPr>
          <w:rFonts w:hint="eastAsia" w:ascii="仿宋_GB2312" w:eastAsia="仿宋_GB2312"/>
          <w:sz w:val="30"/>
          <w:szCs w:val="30"/>
        </w:rPr>
        <w:t>35</w:t>
      </w:r>
    </w:p>
    <w:p>
      <w:pPr>
        <w:pStyle w:val="35"/>
        <w:tabs>
          <w:tab w:val="center" w:leader="dot" w:pos="8190"/>
        </w:tabs>
        <w:spacing w:line="0" w:lineRule="atLeast"/>
        <w:ind w:left="1200" w:hanging="1200" w:hangingChars="400"/>
        <w:jc w:val="left"/>
        <w:rPr>
          <w:rFonts w:ascii="黑体" w:hAnsi="黑体" w:eastAsia="黑体"/>
          <w:b/>
          <w:bCs/>
          <w:sz w:val="30"/>
          <w:szCs w:val="30"/>
        </w:rPr>
      </w:pPr>
      <w:r>
        <w:rPr>
          <w:rFonts w:hint="eastAsia" w:ascii="方正小标宋简体" w:hAnsi="黑体" w:eastAsia="方正小标宋简体"/>
          <w:sz w:val="30"/>
          <w:szCs w:val="30"/>
        </w:rPr>
        <w:t>第八章  提升开放水平 协同融入国家向北开放重要桥头堡建设</w:t>
      </w:r>
      <w:r>
        <w:rPr>
          <w:rFonts w:hint="eastAsia" w:ascii="方正小标宋简体" w:hAnsi="黑体" w:eastAsia="方正小标宋简体"/>
          <w:sz w:val="30"/>
          <w:szCs w:val="30"/>
        </w:rPr>
        <w:tab/>
      </w:r>
      <w:r>
        <w:rPr>
          <w:rFonts w:hint="eastAsia" w:ascii="方正小标宋简体" w:hAnsi="黑体" w:eastAsia="方正小标宋简体"/>
          <w:sz w:val="30"/>
          <w:szCs w:val="30"/>
        </w:rPr>
        <w:t>36</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第一节 服务对接区域重大战略</w:t>
      </w:r>
      <w:r>
        <w:rPr>
          <w:rFonts w:hint="eastAsia" w:ascii="仿宋_GB2312" w:eastAsia="仿宋_GB2312"/>
          <w:sz w:val="30"/>
          <w:szCs w:val="30"/>
        </w:rPr>
        <w:tab/>
      </w:r>
      <w:r>
        <w:rPr>
          <w:rFonts w:hint="eastAsia" w:ascii="仿宋_GB2312" w:eastAsia="仿宋_GB2312"/>
          <w:sz w:val="30"/>
          <w:szCs w:val="30"/>
        </w:rPr>
        <w:t>36</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第二节 加强对外开放合作</w:t>
      </w:r>
      <w:r>
        <w:rPr>
          <w:rFonts w:hint="eastAsia" w:ascii="仿宋_GB2312" w:eastAsia="仿宋_GB2312"/>
          <w:sz w:val="30"/>
          <w:szCs w:val="30"/>
        </w:rPr>
        <w:tab/>
      </w:r>
      <w:r>
        <w:rPr>
          <w:rFonts w:hint="eastAsia" w:ascii="仿宋_GB2312" w:eastAsia="仿宋_GB2312"/>
          <w:sz w:val="30"/>
          <w:szCs w:val="30"/>
        </w:rPr>
        <w:t>37</w:t>
      </w:r>
    </w:p>
    <w:p>
      <w:pPr>
        <w:pStyle w:val="35"/>
        <w:tabs>
          <w:tab w:val="center" w:leader="dot" w:pos="8190"/>
        </w:tabs>
        <w:spacing w:line="240" w:lineRule="auto"/>
        <w:jc w:val="left"/>
        <w:rPr>
          <w:rFonts w:ascii="方正小标宋简体" w:hAnsi="黑体" w:eastAsia="方正小标宋简体"/>
          <w:sz w:val="30"/>
          <w:szCs w:val="30"/>
        </w:rPr>
      </w:pPr>
      <w:r>
        <w:rPr>
          <w:rFonts w:hint="eastAsia" w:ascii="方正小标宋简体" w:hAnsi="黑体" w:eastAsia="方正小标宋简体"/>
          <w:sz w:val="30"/>
          <w:szCs w:val="30"/>
        </w:rPr>
        <w:t>第九章  坚持生态产业化和产业生态化 构建现代化产业体系</w:t>
      </w:r>
      <w:r>
        <w:rPr>
          <w:rFonts w:hint="eastAsia" w:ascii="方正小标宋简体" w:hAnsi="黑体" w:eastAsia="方正小标宋简体"/>
          <w:sz w:val="30"/>
          <w:szCs w:val="30"/>
        </w:rPr>
        <w:tab/>
      </w:r>
      <w:r>
        <w:rPr>
          <w:rFonts w:hint="eastAsia" w:ascii="方正小标宋简体" w:hAnsi="黑体" w:eastAsia="方正小标宋简体"/>
          <w:sz w:val="30"/>
          <w:szCs w:val="30"/>
        </w:rPr>
        <w:t>38</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第一节 促进传统产业转型升级</w:t>
      </w:r>
      <w:r>
        <w:rPr>
          <w:rFonts w:hint="eastAsia" w:ascii="仿宋_GB2312" w:eastAsia="仿宋_GB2312"/>
          <w:sz w:val="30"/>
          <w:szCs w:val="30"/>
        </w:rPr>
        <w:tab/>
      </w:r>
      <w:r>
        <w:rPr>
          <w:rFonts w:hint="eastAsia" w:ascii="仿宋_GB2312" w:eastAsia="仿宋_GB2312"/>
          <w:sz w:val="30"/>
          <w:szCs w:val="30"/>
        </w:rPr>
        <w:t>38</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第二节 培育壮大新兴产业</w:t>
      </w:r>
      <w:r>
        <w:rPr>
          <w:rFonts w:hint="eastAsia" w:ascii="仿宋_GB2312" w:eastAsia="仿宋_GB2312"/>
          <w:sz w:val="30"/>
          <w:szCs w:val="30"/>
        </w:rPr>
        <w:tab/>
      </w:r>
      <w:r>
        <w:rPr>
          <w:rFonts w:hint="eastAsia" w:ascii="仿宋_GB2312" w:eastAsia="仿宋_GB2312"/>
          <w:sz w:val="30"/>
          <w:szCs w:val="30"/>
        </w:rPr>
        <w:t>39</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第三节 推进文化和旅游深度融合</w:t>
      </w:r>
      <w:r>
        <w:rPr>
          <w:rFonts w:hint="eastAsia" w:ascii="仿宋_GB2312" w:eastAsia="仿宋_GB2312"/>
          <w:sz w:val="30"/>
          <w:szCs w:val="30"/>
        </w:rPr>
        <w:tab/>
      </w:r>
      <w:r>
        <w:rPr>
          <w:rFonts w:hint="eastAsia" w:ascii="仿宋_GB2312" w:eastAsia="仿宋_GB2312"/>
          <w:sz w:val="30"/>
          <w:szCs w:val="30"/>
        </w:rPr>
        <w:t>40</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第四节 促进现代服务业优质高效发展</w:t>
      </w:r>
      <w:r>
        <w:rPr>
          <w:rFonts w:hint="eastAsia" w:ascii="仿宋_GB2312" w:eastAsia="仿宋_GB2312"/>
          <w:sz w:val="30"/>
          <w:szCs w:val="30"/>
        </w:rPr>
        <w:tab/>
      </w:r>
      <w:r>
        <w:rPr>
          <w:rFonts w:hint="eastAsia" w:ascii="仿宋_GB2312" w:eastAsia="仿宋_GB2312"/>
          <w:sz w:val="30"/>
          <w:szCs w:val="30"/>
        </w:rPr>
        <w:t>43</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第五节 推进现代化基础设施建设</w:t>
      </w:r>
      <w:r>
        <w:rPr>
          <w:rFonts w:hint="eastAsia" w:ascii="仿宋_GB2312" w:eastAsia="仿宋_GB2312"/>
          <w:sz w:val="30"/>
          <w:szCs w:val="30"/>
        </w:rPr>
        <w:tab/>
      </w:r>
      <w:r>
        <w:rPr>
          <w:rFonts w:hint="eastAsia" w:ascii="仿宋_GB2312" w:eastAsia="仿宋_GB2312"/>
          <w:sz w:val="30"/>
          <w:szCs w:val="30"/>
        </w:rPr>
        <w:t>44</w:t>
      </w:r>
    </w:p>
    <w:p>
      <w:pPr>
        <w:pStyle w:val="35"/>
        <w:tabs>
          <w:tab w:val="center" w:leader="dot" w:pos="8190"/>
        </w:tabs>
        <w:spacing w:line="240" w:lineRule="auto"/>
        <w:jc w:val="left"/>
        <w:rPr>
          <w:rFonts w:ascii="方正小标宋简体" w:hAnsi="黑体" w:eastAsia="方正小标宋简体"/>
          <w:sz w:val="30"/>
          <w:szCs w:val="30"/>
        </w:rPr>
      </w:pPr>
      <w:r>
        <w:rPr>
          <w:rFonts w:hint="eastAsia" w:ascii="方正小标宋简体" w:hAnsi="黑体" w:eastAsia="方正小标宋简体"/>
          <w:sz w:val="30"/>
          <w:szCs w:val="30"/>
        </w:rPr>
        <w:t>第十章  加强科技教育人才事业发展 塑造发展新动能</w:t>
      </w:r>
      <w:r>
        <w:rPr>
          <w:rFonts w:hint="eastAsia" w:ascii="方正小标宋简体" w:hAnsi="黑体" w:eastAsia="方正小标宋简体"/>
          <w:sz w:val="30"/>
          <w:szCs w:val="30"/>
        </w:rPr>
        <w:tab/>
      </w:r>
      <w:r>
        <w:rPr>
          <w:rFonts w:hint="eastAsia" w:ascii="方正小标宋简体" w:hAnsi="黑体" w:eastAsia="方正小标宋简体"/>
          <w:sz w:val="30"/>
          <w:szCs w:val="30"/>
        </w:rPr>
        <w:t>47</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第一节 强化科技创新引领</w:t>
      </w:r>
      <w:r>
        <w:rPr>
          <w:rFonts w:hint="eastAsia" w:ascii="仿宋_GB2312" w:eastAsia="仿宋_GB2312"/>
          <w:sz w:val="30"/>
          <w:szCs w:val="30"/>
        </w:rPr>
        <w:tab/>
      </w:r>
      <w:r>
        <w:rPr>
          <w:rFonts w:hint="eastAsia" w:ascii="仿宋_GB2312" w:eastAsia="仿宋_GB2312"/>
          <w:sz w:val="30"/>
          <w:szCs w:val="30"/>
        </w:rPr>
        <w:t>47</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第二节 扎实推进教育水平提升</w:t>
      </w:r>
      <w:r>
        <w:rPr>
          <w:rFonts w:hint="eastAsia" w:ascii="仿宋_GB2312" w:eastAsia="仿宋_GB2312"/>
          <w:sz w:val="30"/>
          <w:szCs w:val="30"/>
        </w:rPr>
        <w:tab/>
      </w:r>
      <w:r>
        <w:rPr>
          <w:rFonts w:hint="eastAsia" w:ascii="仿宋_GB2312" w:eastAsia="仿宋_GB2312"/>
          <w:sz w:val="30"/>
          <w:szCs w:val="30"/>
        </w:rPr>
        <w:t>48</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第三节 深入实施新时代人才强国战略</w:t>
      </w:r>
      <w:r>
        <w:rPr>
          <w:rFonts w:hint="eastAsia" w:ascii="仿宋_GB2312" w:eastAsia="仿宋_GB2312"/>
          <w:sz w:val="30"/>
          <w:szCs w:val="30"/>
        </w:rPr>
        <w:tab/>
      </w:r>
      <w:r>
        <w:rPr>
          <w:rFonts w:hint="eastAsia" w:ascii="仿宋_GB2312" w:eastAsia="仿宋_GB2312"/>
          <w:sz w:val="30"/>
          <w:szCs w:val="30"/>
        </w:rPr>
        <w:t>49</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第四节 推动经济社会数字化转型</w:t>
      </w:r>
      <w:r>
        <w:rPr>
          <w:rFonts w:hint="eastAsia" w:ascii="仿宋_GB2312" w:eastAsia="仿宋_GB2312"/>
          <w:sz w:val="30"/>
          <w:szCs w:val="30"/>
        </w:rPr>
        <w:tab/>
      </w:r>
      <w:r>
        <w:rPr>
          <w:rFonts w:hint="eastAsia" w:ascii="仿宋_GB2312" w:eastAsia="仿宋_GB2312"/>
          <w:sz w:val="30"/>
          <w:szCs w:val="30"/>
        </w:rPr>
        <w:t>50</w:t>
      </w:r>
    </w:p>
    <w:p>
      <w:pPr>
        <w:pStyle w:val="35"/>
        <w:tabs>
          <w:tab w:val="center" w:leader="dot" w:pos="8190"/>
        </w:tabs>
        <w:spacing w:line="240" w:lineRule="auto"/>
        <w:jc w:val="left"/>
        <w:rPr>
          <w:rFonts w:ascii="方正小标宋简体" w:hAnsi="黑体" w:eastAsia="方正小标宋简体"/>
          <w:sz w:val="30"/>
          <w:szCs w:val="30"/>
        </w:rPr>
      </w:pPr>
      <w:r>
        <w:rPr>
          <w:rFonts w:hint="eastAsia" w:ascii="方正小标宋简体" w:hAnsi="黑体" w:eastAsia="方正小标宋简体"/>
          <w:sz w:val="30"/>
          <w:szCs w:val="30"/>
        </w:rPr>
        <w:t>第十一章  积极有效扩大内需 促进消费投资增长</w:t>
      </w:r>
      <w:r>
        <w:rPr>
          <w:rFonts w:hint="eastAsia" w:ascii="方正小标宋简体" w:hAnsi="黑体" w:eastAsia="方正小标宋简体"/>
          <w:sz w:val="30"/>
          <w:szCs w:val="30"/>
        </w:rPr>
        <w:tab/>
      </w:r>
      <w:r>
        <w:rPr>
          <w:rFonts w:hint="eastAsia" w:ascii="方正小标宋简体" w:hAnsi="黑体" w:eastAsia="方正小标宋简体"/>
          <w:sz w:val="30"/>
          <w:szCs w:val="30"/>
        </w:rPr>
        <w:t>52</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第一节 促进消费提质升级</w:t>
      </w:r>
      <w:r>
        <w:rPr>
          <w:rFonts w:hint="eastAsia" w:ascii="仿宋_GB2312" w:eastAsia="仿宋_GB2312"/>
          <w:sz w:val="30"/>
          <w:szCs w:val="30"/>
        </w:rPr>
        <w:tab/>
      </w:r>
      <w:r>
        <w:rPr>
          <w:rFonts w:hint="eastAsia" w:ascii="仿宋_GB2312" w:eastAsia="仿宋_GB2312"/>
          <w:sz w:val="30"/>
          <w:szCs w:val="30"/>
        </w:rPr>
        <w:t>52</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第二节 精准扩大有效投资规模</w:t>
      </w:r>
      <w:r>
        <w:rPr>
          <w:rFonts w:hint="eastAsia" w:ascii="仿宋_GB2312" w:eastAsia="仿宋_GB2312"/>
          <w:sz w:val="30"/>
          <w:szCs w:val="30"/>
        </w:rPr>
        <w:tab/>
      </w:r>
      <w:r>
        <w:rPr>
          <w:rFonts w:hint="eastAsia" w:ascii="仿宋_GB2312" w:eastAsia="仿宋_GB2312"/>
          <w:sz w:val="30"/>
          <w:szCs w:val="30"/>
        </w:rPr>
        <w:t>53</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第三节 持续提升经济活力</w:t>
      </w:r>
      <w:r>
        <w:rPr>
          <w:rFonts w:hint="eastAsia" w:ascii="仿宋_GB2312" w:eastAsia="仿宋_GB2312"/>
          <w:sz w:val="30"/>
          <w:szCs w:val="30"/>
        </w:rPr>
        <w:tab/>
      </w:r>
      <w:r>
        <w:rPr>
          <w:rFonts w:hint="eastAsia" w:ascii="仿宋_GB2312" w:eastAsia="仿宋_GB2312"/>
          <w:sz w:val="30"/>
          <w:szCs w:val="30"/>
        </w:rPr>
        <w:t>54</w:t>
      </w:r>
    </w:p>
    <w:p>
      <w:pPr>
        <w:pStyle w:val="35"/>
        <w:tabs>
          <w:tab w:val="center" w:leader="dot" w:pos="8190"/>
        </w:tabs>
        <w:spacing w:line="240" w:lineRule="auto"/>
        <w:jc w:val="left"/>
        <w:rPr>
          <w:rFonts w:ascii="方正小标宋简体" w:hAnsi="黑体" w:eastAsia="方正小标宋简体"/>
          <w:sz w:val="30"/>
          <w:szCs w:val="30"/>
        </w:rPr>
      </w:pPr>
      <w:r>
        <w:rPr>
          <w:rFonts w:hint="eastAsia" w:ascii="方正小标宋简体" w:hAnsi="黑体" w:eastAsia="方正小标宋简体"/>
          <w:sz w:val="30"/>
          <w:szCs w:val="30"/>
        </w:rPr>
        <w:t>第十二章  全面深化改革 激发经营主体活力</w:t>
      </w:r>
      <w:r>
        <w:rPr>
          <w:rFonts w:hint="eastAsia" w:ascii="方正小标宋简体" w:hAnsi="黑体" w:eastAsia="方正小标宋简体"/>
          <w:sz w:val="30"/>
          <w:szCs w:val="30"/>
        </w:rPr>
        <w:tab/>
      </w:r>
      <w:r>
        <w:rPr>
          <w:rFonts w:hint="eastAsia" w:ascii="方正小标宋简体" w:hAnsi="黑体" w:eastAsia="方正小标宋简体"/>
          <w:sz w:val="30"/>
          <w:szCs w:val="30"/>
        </w:rPr>
        <w:t>56</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第一节 坚持和落实“两个毫不动摇”</w:t>
      </w:r>
      <w:r>
        <w:rPr>
          <w:rFonts w:hint="eastAsia" w:ascii="仿宋_GB2312" w:eastAsia="仿宋_GB2312"/>
          <w:sz w:val="30"/>
          <w:szCs w:val="30"/>
        </w:rPr>
        <w:tab/>
      </w:r>
      <w:r>
        <w:rPr>
          <w:rFonts w:hint="eastAsia" w:ascii="仿宋_GB2312" w:eastAsia="仿宋_GB2312"/>
          <w:sz w:val="30"/>
          <w:szCs w:val="30"/>
        </w:rPr>
        <w:t>56</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第二节 深化重点领域改革</w:t>
      </w:r>
      <w:r>
        <w:rPr>
          <w:rFonts w:hint="eastAsia" w:ascii="仿宋_GB2312" w:eastAsia="仿宋_GB2312"/>
          <w:sz w:val="30"/>
          <w:szCs w:val="30"/>
        </w:rPr>
        <w:tab/>
      </w:r>
      <w:r>
        <w:rPr>
          <w:rFonts w:hint="eastAsia" w:ascii="仿宋_GB2312" w:eastAsia="仿宋_GB2312"/>
          <w:sz w:val="30"/>
          <w:szCs w:val="30"/>
        </w:rPr>
        <w:t>57</w:t>
      </w:r>
    </w:p>
    <w:p>
      <w:pPr>
        <w:pStyle w:val="35"/>
        <w:tabs>
          <w:tab w:val="center" w:leader="dot" w:pos="8190"/>
        </w:tabs>
        <w:spacing w:line="240" w:lineRule="auto"/>
        <w:jc w:val="left"/>
        <w:rPr>
          <w:rFonts w:ascii="方正小标宋简体" w:hAnsi="黑体" w:eastAsia="方正小标宋简体"/>
          <w:sz w:val="30"/>
          <w:szCs w:val="30"/>
        </w:rPr>
      </w:pPr>
      <w:r>
        <w:rPr>
          <w:rFonts w:hint="eastAsia" w:ascii="方正小标宋简体" w:hAnsi="黑体" w:eastAsia="方正小标宋简体"/>
          <w:sz w:val="30"/>
          <w:szCs w:val="30"/>
        </w:rPr>
        <w:t>第十三章  统筹区域协调发展 提高城镇综合承载能力</w:t>
      </w:r>
      <w:r>
        <w:rPr>
          <w:rFonts w:hint="eastAsia" w:ascii="方正小标宋简体" w:hAnsi="黑体" w:eastAsia="方正小标宋简体"/>
          <w:sz w:val="30"/>
          <w:szCs w:val="30"/>
        </w:rPr>
        <w:tab/>
      </w:r>
      <w:r>
        <w:rPr>
          <w:rFonts w:hint="eastAsia" w:ascii="方正小标宋简体" w:hAnsi="黑体" w:eastAsia="方正小标宋简体"/>
          <w:sz w:val="30"/>
          <w:szCs w:val="30"/>
        </w:rPr>
        <w:t>59</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第一节 优化国土空间发展格局</w:t>
      </w:r>
      <w:r>
        <w:rPr>
          <w:rFonts w:hint="eastAsia" w:ascii="仿宋_GB2312" w:eastAsia="仿宋_GB2312"/>
          <w:sz w:val="30"/>
          <w:szCs w:val="30"/>
        </w:rPr>
        <w:tab/>
      </w:r>
      <w:r>
        <w:rPr>
          <w:rFonts w:hint="eastAsia" w:ascii="仿宋_GB2312" w:eastAsia="仿宋_GB2312"/>
          <w:sz w:val="30"/>
          <w:szCs w:val="30"/>
        </w:rPr>
        <w:t>59</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第二节 深入推进以人为本的新型城镇化</w:t>
      </w:r>
      <w:r>
        <w:rPr>
          <w:rFonts w:hint="eastAsia" w:ascii="仿宋_GB2312" w:eastAsia="仿宋_GB2312"/>
          <w:sz w:val="30"/>
          <w:szCs w:val="30"/>
        </w:rPr>
        <w:tab/>
      </w:r>
      <w:r>
        <w:rPr>
          <w:rFonts w:hint="eastAsia" w:ascii="仿宋_GB2312" w:eastAsia="仿宋_GB2312"/>
          <w:sz w:val="30"/>
          <w:szCs w:val="30"/>
        </w:rPr>
        <w:t>59</w:t>
      </w:r>
    </w:p>
    <w:p>
      <w:pPr>
        <w:pStyle w:val="35"/>
        <w:tabs>
          <w:tab w:val="center" w:leader="dot" w:pos="8190"/>
        </w:tabs>
        <w:spacing w:line="240" w:lineRule="auto"/>
        <w:jc w:val="left"/>
        <w:rPr>
          <w:rFonts w:ascii="方正小标宋简体" w:hAnsi="黑体" w:eastAsia="方正小标宋简体"/>
          <w:sz w:val="30"/>
          <w:szCs w:val="30"/>
        </w:rPr>
      </w:pPr>
      <w:r>
        <w:rPr>
          <w:rFonts w:hint="eastAsia" w:ascii="方正小标宋简体" w:hAnsi="黑体" w:eastAsia="方正小标宋简体"/>
          <w:sz w:val="30"/>
          <w:szCs w:val="30"/>
        </w:rPr>
        <w:t>第十四章  繁荣发展文化事业 满足人民日益增长的精神文化需求</w:t>
      </w:r>
      <w:r>
        <w:rPr>
          <w:rFonts w:hint="eastAsia" w:ascii="方正小标宋简体" w:hAnsi="黑体" w:eastAsia="方正小标宋简体"/>
          <w:sz w:val="30"/>
          <w:szCs w:val="30"/>
        </w:rPr>
        <w:tab/>
      </w:r>
      <w:r>
        <w:rPr>
          <w:rFonts w:hint="eastAsia" w:ascii="方正小标宋简体" w:hAnsi="黑体" w:eastAsia="方正小标宋简体"/>
          <w:sz w:val="30"/>
          <w:szCs w:val="30"/>
        </w:rPr>
        <w:t>62</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第一节 巩固壮大主流思想舆论</w:t>
      </w:r>
      <w:r>
        <w:rPr>
          <w:rFonts w:hint="eastAsia" w:ascii="仿宋_GB2312" w:eastAsia="仿宋_GB2312"/>
          <w:sz w:val="30"/>
          <w:szCs w:val="30"/>
        </w:rPr>
        <w:tab/>
      </w:r>
      <w:r>
        <w:rPr>
          <w:rFonts w:hint="eastAsia" w:ascii="仿宋_GB2312" w:eastAsia="仿宋_GB2312"/>
          <w:sz w:val="30"/>
          <w:szCs w:val="30"/>
        </w:rPr>
        <w:t>62</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第二节 培育和践行社会主义核心价值观</w:t>
      </w:r>
      <w:r>
        <w:rPr>
          <w:rFonts w:hint="eastAsia" w:ascii="仿宋_GB2312" w:eastAsia="仿宋_GB2312"/>
          <w:sz w:val="30"/>
          <w:szCs w:val="30"/>
        </w:rPr>
        <w:tab/>
      </w:r>
      <w:r>
        <w:rPr>
          <w:rFonts w:hint="eastAsia" w:ascii="仿宋_GB2312" w:eastAsia="仿宋_GB2312"/>
          <w:sz w:val="30"/>
          <w:szCs w:val="30"/>
        </w:rPr>
        <w:t>62</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第三节 深入开展群众性精神文明建设活动</w:t>
      </w:r>
      <w:r>
        <w:rPr>
          <w:rFonts w:hint="eastAsia" w:ascii="仿宋_GB2312" w:eastAsia="仿宋_GB2312"/>
          <w:sz w:val="30"/>
          <w:szCs w:val="30"/>
        </w:rPr>
        <w:tab/>
      </w:r>
      <w:r>
        <w:rPr>
          <w:rFonts w:hint="eastAsia" w:ascii="仿宋_GB2312" w:eastAsia="仿宋_GB2312"/>
          <w:sz w:val="30"/>
          <w:szCs w:val="30"/>
        </w:rPr>
        <w:t>63</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第四节 提升公共文化服务水平</w:t>
      </w:r>
      <w:r>
        <w:rPr>
          <w:rFonts w:hint="eastAsia" w:ascii="仿宋_GB2312" w:eastAsia="仿宋_GB2312"/>
          <w:sz w:val="30"/>
          <w:szCs w:val="30"/>
        </w:rPr>
        <w:tab/>
      </w:r>
      <w:r>
        <w:rPr>
          <w:rFonts w:hint="eastAsia" w:ascii="仿宋_GB2312" w:eastAsia="仿宋_GB2312"/>
          <w:sz w:val="30"/>
          <w:szCs w:val="30"/>
        </w:rPr>
        <w:t>63</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第五节 推动文物和文化遗产保护利用</w:t>
      </w:r>
      <w:r>
        <w:rPr>
          <w:rFonts w:hint="eastAsia" w:ascii="仿宋_GB2312" w:eastAsia="仿宋_GB2312"/>
          <w:sz w:val="30"/>
          <w:szCs w:val="30"/>
        </w:rPr>
        <w:tab/>
      </w:r>
      <w:r>
        <w:rPr>
          <w:rFonts w:hint="eastAsia" w:ascii="仿宋_GB2312" w:eastAsia="仿宋_GB2312"/>
          <w:sz w:val="30"/>
          <w:szCs w:val="30"/>
        </w:rPr>
        <w:t>64</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第六节 扩大优质文化产品供给</w:t>
      </w:r>
      <w:r>
        <w:rPr>
          <w:rFonts w:hint="eastAsia" w:ascii="仿宋_GB2312" w:eastAsia="仿宋_GB2312"/>
          <w:sz w:val="30"/>
          <w:szCs w:val="30"/>
        </w:rPr>
        <w:tab/>
      </w:r>
      <w:r>
        <w:rPr>
          <w:rFonts w:hint="eastAsia" w:ascii="仿宋_GB2312" w:eastAsia="仿宋_GB2312"/>
          <w:sz w:val="30"/>
          <w:szCs w:val="30"/>
        </w:rPr>
        <w:t>64</w:t>
      </w:r>
    </w:p>
    <w:p>
      <w:pPr>
        <w:pStyle w:val="35"/>
        <w:tabs>
          <w:tab w:val="center" w:leader="dot" w:pos="8190"/>
        </w:tabs>
        <w:spacing w:line="240" w:lineRule="auto"/>
        <w:jc w:val="left"/>
        <w:rPr>
          <w:rFonts w:ascii="方正小标宋简体" w:hAnsi="黑体" w:eastAsia="方正小标宋简体"/>
          <w:sz w:val="30"/>
          <w:szCs w:val="30"/>
        </w:rPr>
      </w:pPr>
      <w:r>
        <w:rPr>
          <w:rFonts w:hint="eastAsia" w:ascii="方正小标宋简体" w:hAnsi="黑体" w:eastAsia="方正小标宋简体"/>
          <w:sz w:val="30"/>
          <w:szCs w:val="30"/>
        </w:rPr>
        <w:t>第十五章  持续增进民生福祉 不断提高人民生活品质</w:t>
      </w:r>
      <w:r>
        <w:rPr>
          <w:rFonts w:hint="eastAsia" w:ascii="方正小标宋简体" w:hAnsi="黑体" w:eastAsia="方正小标宋简体"/>
          <w:sz w:val="30"/>
          <w:szCs w:val="30"/>
        </w:rPr>
        <w:tab/>
      </w:r>
      <w:r>
        <w:rPr>
          <w:rFonts w:hint="eastAsia" w:ascii="方正小标宋简体" w:hAnsi="黑体" w:eastAsia="方正小标宋简体"/>
          <w:sz w:val="30"/>
          <w:szCs w:val="30"/>
        </w:rPr>
        <w:t>66</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第一节 推动实现更高质量充分就业</w:t>
      </w:r>
      <w:r>
        <w:rPr>
          <w:rFonts w:hint="eastAsia" w:ascii="仿宋_GB2312" w:eastAsia="仿宋_GB2312"/>
          <w:sz w:val="30"/>
          <w:szCs w:val="30"/>
        </w:rPr>
        <w:tab/>
      </w:r>
      <w:r>
        <w:rPr>
          <w:rFonts w:hint="eastAsia" w:ascii="仿宋_GB2312" w:eastAsia="仿宋_GB2312"/>
          <w:sz w:val="30"/>
          <w:szCs w:val="30"/>
        </w:rPr>
        <w:t>66</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第二节 拓宽居民增收渠道</w:t>
      </w:r>
      <w:r>
        <w:rPr>
          <w:rFonts w:hint="eastAsia" w:ascii="仿宋_GB2312" w:eastAsia="仿宋_GB2312"/>
          <w:sz w:val="30"/>
          <w:szCs w:val="30"/>
        </w:rPr>
        <w:tab/>
      </w:r>
      <w:r>
        <w:rPr>
          <w:rFonts w:hint="eastAsia" w:ascii="仿宋_GB2312" w:eastAsia="仿宋_GB2312"/>
          <w:sz w:val="30"/>
          <w:szCs w:val="30"/>
        </w:rPr>
        <w:t>67</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第三节 完善社会保障体系</w:t>
      </w:r>
      <w:r>
        <w:rPr>
          <w:rFonts w:hint="eastAsia" w:ascii="仿宋_GB2312" w:eastAsia="仿宋_GB2312"/>
          <w:sz w:val="30"/>
          <w:szCs w:val="30"/>
        </w:rPr>
        <w:tab/>
      </w:r>
      <w:r>
        <w:rPr>
          <w:rFonts w:hint="eastAsia" w:ascii="仿宋_GB2312" w:eastAsia="仿宋_GB2312"/>
          <w:sz w:val="30"/>
          <w:szCs w:val="30"/>
        </w:rPr>
        <w:t>68</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第四节 健全“一老一小”服务体系</w:t>
      </w:r>
      <w:r>
        <w:rPr>
          <w:rFonts w:hint="eastAsia" w:ascii="仿宋_GB2312" w:eastAsia="仿宋_GB2312"/>
          <w:sz w:val="30"/>
          <w:szCs w:val="30"/>
        </w:rPr>
        <w:tab/>
      </w:r>
      <w:r>
        <w:rPr>
          <w:rFonts w:hint="eastAsia" w:ascii="仿宋_GB2312" w:eastAsia="仿宋_GB2312"/>
          <w:sz w:val="30"/>
          <w:szCs w:val="30"/>
        </w:rPr>
        <w:t>69</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第五节 保障重点群体权益</w:t>
      </w:r>
      <w:r>
        <w:rPr>
          <w:rFonts w:hint="eastAsia" w:ascii="仿宋_GB2312" w:eastAsia="仿宋_GB2312"/>
          <w:sz w:val="30"/>
          <w:szCs w:val="30"/>
        </w:rPr>
        <w:tab/>
      </w:r>
      <w:r>
        <w:rPr>
          <w:rFonts w:hint="eastAsia" w:ascii="仿宋_GB2312" w:eastAsia="仿宋_GB2312"/>
          <w:sz w:val="30"/>
          <w:szCs w:val="30"/>
        </w:rPr>
        <w:t>71</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第六节 持续推进健康根河建设</w:t>
      </w:r>
      <w:r>
        <w:rPr>
          <w:rFonts w:hint="eastAsia" w:ascii="仿宋_GB2312" w:eastAsia="仿宋_GB2312"/>
          <w:sz w:val="30"/>
          <w:szCs w:val="30"/>
        </w:rPr>
        <w:tab/>
      </w:r>
      <w:r>
        <w:rPr>
          <w:rFonts w:hint="eastAsia" w:ascii="仿宋_GB2312" w:eastAsia="仿宋_GB2312"/>
          <w:sz w:val="30"/>
          <w:szCs w:val="30"/>
        </w:rPr>
        <w:t>72</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第七节 加快体育事业发展</w:t>
      </w:r>
      <w:r>
        <w:rPr>
          <w:rFonts w:hint="eastAsia" w:ascii="仿宋_GB2312" w:eastAsia="仿宋_GB2312"/>
          <w:sz w:val="30"/>
          <w:szCs w:val="30"/>
        </w:rPr>
        <w:tab/>
      </w:r>
      <w:r>
        <w:rPr>
          <w:rFonts w:hint="eastAsia" w:ascii="仿宋_GB2312" w:eastAsia="仿宋_GB2312"/>
          <w:sz w:val="30"/>
          <w:szCs w:val="30"/>
        </w:rPr>
        <w:t>74</w:t>
      </w:r>
    </w:p>
    <w:p>
      <w:pPr>
        <w:pStyle w:val="35"/>
        <w:tabs>
          <w:tab w:val="center" w:leader="dot" w:pos="8190"/>
        </w:tabs>
        <w:spacing w:line="240" w:lineRule="auto"/>
        <w:jc w:val="left"/>
        <w:rPr>
          <w:rFonts w:ascii="方正小标宋简体" w:hAnsi="黑体" w:eastAsia="方正小标宋简体"/>
          <w:sz w:val="30"/>
          <w:szCs w:val="30"/>
        </w:rPr>
      </w:pPr>
      <w:r>
        <w:rPr>
          <w:rFonts w:hint="eastAsia" w:ascii="方正小标宋简体" w:hAnsi="黑体" w:eastAsia="方正小标宋简体"/>
          <w:sz w:val="30"/>
          <w:szCs w:val="30"/>
        </w:rPr>
        <w:t>第十六章  健全规划实施机制 保障规划顺利实施</w:t>
      </w:r>
      <w:r>
        <w:rPr>
          <w:rFonts w:hint="eastAsia" w:ascii="方正小标宋简体" w:hAnsi="黑体" w:eastAsia="方正小标宋简体"/>
          <w:sz w:val="30"/>
          <w:szCs w:val="30"/>
        </w:rPr>
        <w:tab/>
      </w:r>
      <w:r>
        <w:rPr>
          <w:rFonts w:hint="eastAsia" w:ascii="方正小标宋简体" w:hAnsi="黑体" w:eastAsia="方正小标宋简体"/>
          <w:sz w:val="30"/>
          <w:szCs w:val="30"/>
        </w:rPr>
        <w:t>76</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第一节 全面加强党的领导</w:t>
      </w:r>
      <w:r>
        <w:rPr>
          <w:rFonts w:hint="eastAsia" w:ascii="仿宋_GB2312" w:eastAsia="仿宋_GB2312"/>
          <w:sz w:val="30"/>
          <w:szCs w:val="30"/>
        </w:rPr>
        <w:tab/>
      </w:r>
      <w:r>
        <w:rPr>
          <w:rFonts w:hint="eastAsia" w:ascii="仿宋_GB2312" w:eastAsia="仿宋_GB2312"/>
          <w:sz w:val="30"/>
          <w:szCs w:val="30"/>
        </w:rPr>
        <w:t>76</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第二节 落实规划实施责任</w:t>
      </w:r>
      <w:r>
        <w:rPr>
          <w:rFonts w:hint="eastAsia" w:ascii="仿宋_GB2312" w:eastAsia="仿宋_GB2312"/>
          <w:sz w:val="30"/>
          <w:szCs w:val="30"/>
        </w:rPr>
        <w:tab/>
      </w:r>
      <w:r>
        <w:rPr>
          <w:rFonts w:hint="eastAsia" w:ascii="仿宋_GB2312" w:eastAsia="仿宋_GB2312"/>
          <w:sz w:val="30"/>
          <w:szCs w:val="30"/>
        </w:rPr>
        <w:t>77</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第三节 强化政策协同保障</w:t>
      </w:r>
      <w:r>
        <w:rPr>
          <w:rFonts w:hint="eastAsia" w:ascii="仿宋_GB2312" w:eastAsia="仿宋_GB2312"/>
          <w:sz w:val="30"/>
          <w:szCs w:val="30"/>
        </w:rPr>
        <w:tab/>
      </w:r>
      <w:r>
        <w:rPr>
          <w:rFonts w:hint="eastAsia" w:ascii="仿宋_GB2312" w:eastAsia="仿宋_GB2312"/>
          <w:sz w:val="30"/>
          <w:szCs w:val="30"/>
        </w:rPr>
        <w:t>77</w:t>
      </w:r>
    </w:p>
    <w:p>
      <w:pPr>
        <w:pStyle w:val="35"/>
        <w:tabs>
          <w:tab w:val="center" w:leader="dot" w:pos="8190"/>
        </w:tabs>
        <w:spacing w:line="240" w:lineRule="auto"/>
        <w:ind w:firstLine="600" w:firstLineChars="200"/>
        <w:jc w:val="left"/>
        <w:rPr>
          <w:rFonts w:ascii="仿宋_GB2312" w:eastAsia="仿宋_GB2312"/>
          <w:sz w:val="30"/>
          <w:szCs w:val="30"/>
        </w:rPr>
      </w:pPr>
      <w:r>
        <w:rPr>
          <w:rFonts w:hint="eastAsia" w:ascii="仿宋_GB2312" w:eastAsia="仿宋_GB2312"/>
          <w:sz w:val="30"/>
          <w:szCs w:val="30"/>
        </w:rPr>
        <w:t>第四节 加强规划实施监测评估</w:t>
      </w:r>
      <w:r>
        <w:rPr>
          <w:rFonts w:hint="eastAsia" w:ascii="仿宋_GB2312" w:eastAsia="仿宋_GB2312"/>
          <w:sz w:val="30"/>
          <w:szCs w:val="30"/>
        </w:rPr>
        <w:tab/>
      </w:r>
      <w:r>
        <w:rPr>
          <w:rFonts w:hint="eastAsia" w:ascii="仿宋_GB2312" w:eastAsia="仿宋_GB2312"/>
          <w:sz w:val="30"/>
          <w:szCs w:val="30"/>
        </w:rPr>
        <w:t>77</w:t>
      </w:r>
    </w:p>
    <w:p>
      <w:pPr>
        <w:rPr>
          <w:rFonts w:ascii="宋体" w:hAnsi="宋体"/>
        </w:rPr>
      </w:pPr>
    </w:p>
    <w:p>
      <w:pPr>
        <w:jc w:val="center"/>
        <w:rPr>
          <w:rFonts w:ascii="宋体" w:hAnsi="宋体"/>
        </w:rPr>
        <w:sectPr>
          <w:footerReference r:id="rId3" w:type="default"/>
          <w:pgSz w:w="11906" w:h="16838"/>
          <w:pgMar w:top="1440" w:right="1800" w:bottom="1440" w:left="1800" w:header="851" w:footer="794" w:gutter="0"/>
          <w:pgNumType w:fmt="numberInDash" w:start="1"/>
          <w:cols w:space="720" w:num="1"/>
          <w:docGrid w:type="lines" w:linePitch="312" w:charSpace="0"/>
        </w:sectPr>
      </w:pPr>
    </w:p>
    <w:p>
      <w:pPr>
        <w:spacing w:line="600" w:lineRule="exact"/>
        <w:jc w:val="center"/>
        <w:rPr>
          <w:rFonts w:ascii="方正小标宋简体" w:hAnsi="黑体" w:eastAsia="方正小标宋简体"/>
          <w:sz w:val="44"/>
          <w:szCs w:val="44"/>
        </w:rPr>
      </w:pPr>
      <w:bookmarkStart w:id="0" w:name="_Toc4853_WPSOffice_Level1"/>
      <w:bookmarkStart w:id="1" w:name="_Toc23287_WPSOffice_Level1"/>
      <w:r>
        <w:rPr>
          <w:rFonts w:hint="eastAsia" w:ascii="方正小标宋简体" w:hAnsi="黑体" w:eastAsia="方正小标宋简体"/>
          <w:sz w:val="44"/>
          <w:szCs w:val="44"/>
        </w:rPr>
        <w:t>前    言</w:t>
      </w:r>
      <w:bookmarkEnd w:id="0"/>
      <w:bookmarkEnd w:id="1"/>
    </w:p>
    <w:p>
      <w:pPr>
        <w:spacing w:line="560" w:lineRule="exact"/>
        <w:ind w:firstLine="646"/>
        <w:rPr>
          <w:rFonts w:ascii="仿宋_GB2312" w:hAnsi="黑体" w:eastAsia="仿宋_GB2312"/>
          <w:sz w:val="32"/>
          <w:szCs w:val="32"/>
        </w:rPr>
      </w:pPr>
    </w:p>
    <w:p>
      <w:pPr>
        <w:spacing w:line="560" w:lineRule="exact"/>
        <w:ind w:firstLine="646"/>
        <w:rPr>
          <w:rFonts w:ascii="仿宋_GB2312" w:hAnsi="黑体" w:eastAsia="仿宋_GB2312"/>
          <w:sz w:val="32"/>
          <w:szCs w:val="32"/>
        </w:rPr>
      </w:pPr>
      <w:r>
        <w:rPr>
          <w:rFonts w:hint="eastAsia" w:ascii="仿宋_GB2312" w:hAnsi="黑体" w:eastAsia="仿宋_GB2312"/>
          <w:sz w:val="32"/>
          <w:szCs w:val="32"/>
        </w:rPr>
        <w:t>“十五五”时期是我国全面建设社会主义现代化国家夯实基础、全面发力的关键时期，也是根河市巩固拓展“十四五”发展成果、推动高质量发展的攻坚阶段。科学编制根河市“十五五”规划，系统谋划2026—2030年经济社会发展的目标任务、重点工作、重大项目和保障措施，对于全面贯彻党的二十大和二十届历次全会精神，深入落实习近平总书记对内蒙古系列重要讲话重要指示精神，全面落实国务院《关于推动内蒙古高质量发展奋力书写中国式现代化新篇章的意见》，奋力书写中国式现代化根河市新篇章，具有重大现实意义和深远历史意义。</w:t>
      </w:r>
    </w:p>
    <w:p>
      <w:pPr>
        <w:pStyle w:val="12"/>
        <w:rPr>
          <w:rFonts w:ascii="黑体" w:hAnsi="黑体" w:eastAsia="黑体"/>
          <w:b w:val="0"/>
        </w:rPr>
      </w:pPr>
      <w:bookmarkStart w:id="2" w:name="_Toc26764_WPSOffice_Level1"/>
      <w:bookmarkStart w:id="3" w:name="_Toc4618_WPSOffice_Level1"/>
      <w:bookmarkStart w:id="4" w:name="_Toc207178045"/>
    </w:p>
    <w:p>
      <w:pPr>
        <w:pStyle w:val="12"/>
        <w:rPr>
          <w:rFonts w:ascii="黑体" w:hAnsi="黑体" w:eastAsia="黑体"/>
          <w:b w:val="0"/>
        </w:rPr>
      </w:pPr>
    </w:p>
    <w:p/>
    <w:p/>
    <w:p/>
    <w:p/>
    <w:p/>
    <w:p/>
    <w:p/>
    <w:p/>
    <w:p/>
    <w:p/>
    <w:p/>
    <w:p/>
    <w:p/>
    <w:p/>
    <w:p/>
    <w:p/>
    <w:p>
      <w:pPr>
        <w:pStyle w:val="12"/>
        <w:rPr>
          <w:rFonts w:ascii="黑体" w:hAnsi="黑体" w:eastAsia="黑体"/>
          <w:b w:val="0"/>
        </w:rPr>
      </w:pPr>
    </w:p>
    <w:p>
      <w:pPr>
        <w:sectPr>
          <w:footerReference r:id="rId4" w:type="default"/>
          <w:pgSz w:w="11906" w:h="16838"/>
          <w:pgMar w:top="1440" w:right="1800" w:bottom="1440" w:left="1800" w:header="851" w:footer="794" w:gutter="0"/>
          <w:pgNumType w:fmt="upperRoman" w:start="1"/>
          <w:cols w:space="720" w:num="1"/>
          <w:docGrid w:type="lines" w:linePitch="312" w:charSpace="0"/>
        </w:sectPr>
      </w:pPr>
    </w:p>
    <w:p>
      <w:pPr>
        <w:pStyle w:val="12"/>
        <w:spacing w:before="0" w:after="0"/>
        <w:outlineLvl w:val="9"/>
        <w:rPr>
          <w:rFonts w:ascii="方正小标宋简体" w:hAnsi="黑体" w:eastAsia="方正小标宋简体"/>
          <w:b w:val="0"/>
          <w:sz w:val="36"/>
          <w:szCs w:val="36"/>
        </w:rPr>
      </w:pPr>
      <w:r>
        <w:rPr>
          <w:rFonts w:hint="eastAsia" w:ascii="方正小标宋简体" w:hAnsi="黑体" w:eastAsia="方正小标宋简体"/>
          <w:b w:val="0"/>
          <w:sz w:val="36"/>
          <w:szCs w:val="36"/>
        </w:rPr>
        <w:t>第一章  发展环境</w:t>
      </w:r>
      <w:bookmarkEnd w:id="2"/>
      <w:bookmarkEnd w:id="3"/>
    </w:p>
    <w:p>
      <w:pPr>
        <w:pStyle w:val="12"/>
        <w:spacing w:before="0" w:after="0" w:line="576" w:lineRule="exact"/>
        <w:ind w:firstLine="642" w:firstLineChars="200"/>
        <w:jc w:val="both"/>
        <w:outlineLvl w:val="9"/>
        <w:rPr>
          <w:rFonts w:ascii="楷体_GB2312" w:hAnsi="楷体" w:eastAsia="楷体_GB2312"/>
        </w:rPr>
      </w:pPr>
      <w:bookmarkStart w:id="5" w:name="_Toc26764_WPSOffice_Level2"/>
      <w:bookmarkStart w:id="6" w:name="_Toc4618_WPSOffice_Level2"/>
    </w:p>
    <w:p>
      <w:pPr>
        <w:pStyle w:val="12"/>
        <w:spacing w:before="0" w:after="0" w:line="576" w:lineRule="exact"/>
        <w:outlineLvl w:val="9"/>
        <w:rPr>
          <w:rFonts w:ascii="黑体" w:hAnsi="黑体" w:eastAsia="黑体"/>
          <w:b w:val="0"/>
          <w:bCs w:val="0"/>
        </w:rPr>
      </w:pPr>
      <w:r>
        <w:rPr>
          <w:rFonts w:hint="eastAsia" w:ascii="黑体" w:hAnsi="黑体" w:eastAsia="黑体"/>
          <w:b w:val="0"/>
          <w:bCs w:val="0"/>
        </w:rPr>
        <w:t>第一节  “十四五”</w:t>
      </w:r>
      <w:bookmarkEnd w:id="4"/>
      <w:r>
        <w:rPr>
          <w:rFonts w:hint="eastAsia" w:ascii="黑体" w:hAnsi="黑体" w:eastAsia="黑体"/>
          <w:b w:val="0"/>
          <w:bCs w:val="0"/>
        </w:rPr>
        <w:t>时期经济社会发展成就</w:t>
      </w:r>
      <w:bookmarkEnd w:id="5"/>
      <w:bookmarkEnd w:id="6"/>
    </w:p>
    <w:p>
      <w:pPr>
        <w:spacing w:line="576" w:lineRule="exact"/>
        <w:ind w:firstLine="640" w:firstLineChars="200"/>
        <w:rPr>
          <w:rFonts w:ascii="仿宋_GB2312" w:eastAsia="仿宋_GB2312"/>
          <w:sz w:val="32"/>
          <w:szCs w:val="32"/>
        </w:rPr>
      </w:pPr>
      <w:r>
        <w:rPr>
          <w:rFonts w:hint="eastAsia" w:ascii="仿宋_GB2312" w:eastAsia="仿宋_GB2312"/>
          <w:sz w:val="32"/>
          <w:szCs w:val="32"/>
        </w:rPr>
        <w:t>“十四五”以来，根河市以习近平新时代中国特色社会主义思想为指导，全面贯彻党的二十大和二十届历次全会精神，以及习近平总书记对内蒙古的重要讲话重要指示精神，以铸牢中华民族共同体意识为工作主线，以推动高质量发展为主题，完整准确全面贯彻新发展理念，积极服务和融入新发展格局，聚焦高质量完成“五大任务”和全方位建设模范自治区两件大事，有序实施“十四五”各项重大任务，坚定不移走以生态优先、绿色发展为导向的高质量发展新路子，基本完成了“十四五”经济发展、民生福祉、绿色生态主要目标和重点任务，经济社会转型发展、绿色发展、高质量发展步伐更加坚实，为“十五五”时期发展奠定了坚实基础。</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经济综合实力稳步提升。</w:t>
      </w:r>
      <w:r>
        <w:rPr>
          <w:rFonts w:hint="eastAsia" w:ascii="仿宋_GB2312" w:eastAsia="仿宋_GB2312"/>
          <w:sz w:val="32"/>
          <w:szCs w:val="32"/>
        </w:rPr>
        <w:t>“十四五”时期，全市经济运行呈现“总量提升、质量优化”的良好态势。地区生产总值由32.54亿元提升至38.47亿元，年均增长1.8%；固定资产投资累计完成35.8亿元，年均增长17.5%；签约招商引资项目94个，引进市外资金18.2亿元；社会消费品零售总额年均增长3.1%。全面推进产业结构转型升级，三次产业构成由2020年的15.4:25.8:58.8转变为2025年的17.4:17.2:65.4。</w:t>
      </w:r>
      <w:r>
        <w:rPr>
          <w:rFonts w:hint="eastAsia" w:ascii="仿宋_GB2312" w:eastAsia="仿宋_GB2312"/>
          <w:b/>
          <w:bCs/>
          <w:sz w:val="32"/>
          <w:szCs w:val="32"/>
        </w:rPr>
        <w:t>文旅产业蓬勃发展。</w:t>
      </w:r>
      <w:r>
        <w:rPr>
          <w:rFonts w:hint="eastAsia" w:ascii="仿宋_GB2312" w:eastAsia="仿宋_GB2312"/>
          <w:sz w:val="32"/>
          <w:szCs w:val="32"/>
        </w:rPr>
        <w:t>敖鲁古雅使鹿部落景区晋升4A级景区，入选首批“自治区级非遗旅游体验基地”；根河源国家湿地公园4A级、满归伊克萨玛国家森林公园3A级、根河源大兴安岭4C级房车营地等成功创建。根河市获评“深呼吸生态旅游魅力名县”，入选“全国文明旅游百城联盟”。《让敖鲁古雅使鹿部落不再神秘》获评中国旅游产业影响力案例。文旅宣传步入新阶段，多部央视纪录片在根河拍摄，城市知名度迅速提升。参加上级各类旅游推介活动50余场，精准对接主要客源地，“十四五”期间，全市累计接待游客938.66万人次，实现旅游总收入135.02亿元。</w:t>
      </w:r>
      <w:r>
        <w:rPr>
          <w:rFonts w:hint="eastAsia" w:ascii="仿宋_GB2312" w:eastAsia="仿宋_GB2312"/>
          <w:b/>
          <w:bCs/>
          <w:sz w:val="32"/>
          <w:szCs w:val="32"/>
        </w:rPr>
        <w:t>特色产业提质增效。</w:t>
      </w:r>
      <w:r>
        <w:rPr>
          <w:rFonts w:hint="eastAsia" w:ascii="楷体_GB2312" w:hAnsi="楷体" w:eastAsia="楷体_GB2312"/>
          <w:bCs/>
          <w:sz w:val="32"/>
          <w:szCs w:val="32"/>
        </w:rPr>
        <w:t>“</w:t>
      </w:r>
      <w:r>
        <w:rPr>
          <w:rFonts w:hint="eastAsia" w:ascii="仿宋_GB2312" w:eastAsia="仿宋_GB2312"/>
          <w:bCs/>
          <w:sz w:val="32"/>
          <w:szCs w:val="32"/>
        </w:rPr>
        <w:t>兴安一号”</w:t>
      </w:r>
      <w:r>
        <w:rPr>
          <w:rFonts w:hint="eastAsia" w:ascii="仿宋_GB2312" w:eastAsia="仿宋_GB2312"/>
          <w:sz w:val="32"/>
          <w:szCs w:val="32"/>
        </w:rPr>
        <w:t>蓝莓、蓝靛果忍冬推广示范项目通过自治区验收，林海源公司获得“蒙”字标认证，实现了“零”的突破。敖鲁古雅驯鹿被列为国家重点普查对象，驯鹿保种场通过国家畜牧总站验收，驯鹿种群数量稳步增加。</w:t>
      </w:r>
      <w:r>
        <w:rPr>
          <w:rFonts w:hint="eastAsia" w:ascii="仿宋_GB2312" w:eastAsia="仿宋_GB2312"/>
          <w:b/>
          <w:bCs/>
          <w:sz w:val="32"/>
          <w:szCs w:val="32"/>
        </w:rPr>
        <w:t>传统产业焕新突破。</w:t>
      </w:r>
      <w:r>
        <w:rPr>
          <w:rFonts w:hint="eastAsia" w:ascii="仿宋_GB2312" w:eastAsia="仿宋_GB2312"/>
          <w:sz w:val="32"/>
          <w:szCs w:val="32"/>
        </w:rPr>
        <w:t>累计实施500万元以上工业项目42个，完成创新创优项目投资6.4亿元，加强企业技改和自主创新，规模以上工业总产值达到29.23亿元。根林木业被自治区认定为装配式木结构建筑示范基地，与光明热电公司共同入选自治区级创新型中小企业。</w:t>
      </w:r>
      <w:r>
        <w:rPr>
          <w:rFonts w:hint="eastAsia" w:ascii="仿宋_GB2312" w:eastAsia="仿宋_GB2312"/>
          <w:b/>
          <w:bCs/>
          <w:sz w:val="32"/>
          <w:szCs w:val="32"/>
        </w:rPr>
        <w:t>新兴产业加速崛起。</w:t>
      </w:r>
      <w:r>
        <w:rPr>
          <w:rFonts w:hint="eastAsia" w:ascii="仿宋_GB2312" w:eastAsia="仿宋_GB2312"/>
          <w:sz w:val="32"/>
          <w:szCs w:val="32"/>
        </w:rPr>
        <w:t>成立了“中国冷极”冷资源技术创新中心，深挖“冷资源”优势。累计投入资金1.08亿元，实施了敖鲁古雅机场机库扩建、新一代天气雷达、飞行器极寒测试基地基础设施扩建等项目，提升了测试保障服务能力。圆满完成了多款武装直升机和无人直升机耐冷测试、中国航天五院载人飞船返回舱空投测试、中国船舶集团甲板机械极端低温环境外场试验，对国家相关科研进程起到了推动作用。全球首款氢动力多旋翼无人机、新能源车型电池、美团无人机等极寒测试项目，效果均达到了预期。</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生态优势持续巩固。</w:t>
      </w:r>
      <w:r>
        <w:rPr>
          <w:rFonts w:hint="eastAsia" w:ascii="仿宋_GB2312" w:hAnsi="楷体" w:eastAsia="仿宋_GB2312"/>
          <w:sz w:val="32"/>
          <w:szCs w:val="32"/>
        </w:rPr>
        <w:t>成功创建国家“绿水青山就是金山银山”实践创新基地，</w:t>
      </w:r>
      <w:r>
        <w:rPr>
          <w:rFonts w:hint="eastAsia" w:ascii="仿宋_GB2312" w:eastAsia="仿宋_GB2312"/>
          <w:sz w:val="32"/>
          <w:szCs w:val="32"/>
        </w:rPr>
        <w:t>获评“2022年绿水青山就是金山银山实践优秀城市”称号。圆满完成“十四五”时期县域生态环境质量考核工作，累计获得转移支付资金7.88亿元。统筹推进山水林田湖草沙系统治理，编制完成《根河市国土空间总体规划（2021—2035）》，“三区三线”划定成果全面启用。培育建设绿色矿山3家，义务植树29.62万株，重点区域绿化1034.1公顷，生态治理体系和治理能力稳步提升。持续深入打好污染防治攻坚战，空气质量优良天数比例达到100%，完成市区污水收集率提升改造工程。能耗总量和强度指标始终保持“双绿”运行，成功入选第一批“自治区级低碳试点旗县”。敖鲁古雅鄂温克族乡荣获“自治区森林乡镇”称号，汗马自然保护区荣获“世界最佳自然保护地”称号，根河市入选联合国《生物多样性公约》第十六次缔约方大会“自然城市”平台，打造了呼伦贝尔市生态文明建设样板。</w:t>
      </w:r>
    </w:p>
    <w:p>
      <w:pPr>
        <w:spacing w:line="576" w:lineRule="exact"/>
        <w:ind w:firstLine="642" w:firstLineChars="200"/>
        <w:rPr>
          <w:rFonts w:ascii="仿宋_GB2312" w:hAnsi="楷体" w:eastAsia="仿宋_GB2312"/>
          <w:sz w:val="32"/>
          <w:szCs w:val="32"/>
        </w:rPr>
      </w:pPr>
      <w:r>
        <w:rPr>
          <w:rFonts w:hint="eastAsia" w:ascii="楷体_GB2312" w:hAnsi="楷体" w:eastAsia="楷体_GB2312"/>
          <w:b/>
          <w:sz w:val="32"/>
          <w:szCs w:val="32"/>
        </w:rPr>
        <w:t>改革开放深入推进。</w:t>
      </w:r>
      <w:r>
        <w:rPr>
          <w:rFonts w:hint="eastAsia" w:ascii="仿宋_GB2312" w:hAnsi="楷体" w:eastAsia="仿宋_GB2312"/>
          <w:sz w:val="32"/>
          <w:szCs w:val="32"/>
        </w:rPr>
        <w:t>深化重点领域改革，累计实施各领域改革任务217项。市属国有企业改革任务稳步推进。各类经营主体达5972户。坚持打造市场化、法治化营商环境，推广“周末不打烊”“容缺办理制”“最多跑一次”等经验做法，“高效办成一件事”“一网通办”“帮办代办”上线运行，累计精简申请材料30%以上，压缩办理时限60%以上，政务服务效能显著提升。落实促进民营经济发展等政策措施，累计减免各类税费6.14亿元，留抵退税3304万元。全面推进社会信用体系建设，强化“信易贷”平台推广应用，各金融机构在“信易贷”平台开展业务99笔，放贷金额5763.9万元，为中小企业融资提供帮助。</w:t>
      </w:r>
      <w:r>
        <w:rPr>
          <w:rFonts w:hint="eastAsia" w:ascii="仿宋_GB2312" w:eastAsia="仿宋_GB2312"/>
          <w:sz w:val="32"/>
          <w:szCs w:val="32"/>
        </w:rPr>
        <w:t>开展对外贸易和境外投资合作，累计进出口贸易额9455万元。为符合条件的外经贸企业争取专项扶持资金累计569.2万元，组织企业参加各类培训会、座谈会、展洽会等活动累计50余场，促进企业产品内销，提升国际竞争能力。</w:t>
      </w:r>
    </w:p>
    <w:p>
      <w:pPr>
        <w:spacing w:line="576" w:lineRule="exact"/>
        <w:ind w:firstLine="642" w:firstLineChars="200"/>
        <w:rPr>
          <w:rFonts w:ascii="仿宋_GB2312" w:hAnsi="楷体" w:eastAsia="仿宋_GB2312"/>
          <w:sz w:val="32"/>
          <w:szCs w:val="32"/>
        </w:rPr>
      </w:pPr>
      <w:r>
        <w:rPr>
          <w:rFonts w:hint="eastAsia" w:ascii="楷体_GB2312" w:hAnsi="楷体" w:eastAsia="楷体_GB2312"/>
          <w:b/>
          <w:sz w:val="32"/>
          <w:szCs w:val="32"/>
        </w:rPr>
        <w:t>城乡区域发展更加协调。</w:t>
      </w:r>
      <w:r>
        <w:rPr>
          <w:rFonts w:hint="eastAsia" w:ascii="仿宋_GB2312" w:hAnsi="楷体" w:eastAsia="仿宋_GB2312"/>
          <w:sz w:val="32"/>
          <w:szCs w:val="32"/>
        </w:rPr>
        <w:t>新建、改建林区公路285.5公里，完成街巷硬化1.44公里。高质高效完成根满公路改造工程，极大改善了群众出行条件。扎实推进市政基础设施项目11个，完成投资2.38亿元。改造老旧小区37个，惠及居民3343户。改造污水管网10公里、供热管网32.6公里、供水管网10公里。乡镇生活垃圾和污水处理厂、市区温暖工程供热管网改造、敖鲁古雅供热管网改建项目等一批重大工程投入使用。饮水安全和5G网络实现全覆盖，城镇综合承载功能持续提升。敖鲁古雅鄂温克族乡成功入选自治区“十佳非遗特色村镇”和乡村旅游重点村，乡村旅游、非遗文化融合发展取得了显著成效。</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民生福祉持续改善。</w:t>
      </w:r>
      <w:r>
        <w:rPr>
          <w:rFonts w:hint="eastAsia" w:ascii="仿宋_GB2312" w:hAnsi="楷体" w:eastAsia="仿宋_GB2312"/>
          <w:sz w:val="32"/>
          <w:szCs w:val="32"/>
        </w:rPr>
        <w:t>民生领域累计支出53.46亿元，占一般公共预算支出的65.92%。落实就业优先战略，累计实现城镇新就业7018人。社会保障体系持续健全，城镇居民最低生活保障标准提升至每月808元，人均可支配收入年均增长3.7%以上。打造“15分钟养老服务圈”，实现乡镇、街道养老服务中心全覆盖。现代教育体系加快完善，市第一幼儿园新园建成，第二中学高考综合改革改造项目完工并投入使用，普惠性幼儿园覆盖率达100%，义务教育阶段学校课后服务实现全覆盖，课后服务参与率达97.06%。完成紧密型县域医共体总医院及分院机构设置，市公立医院与4家三甲医院签订医联体和技术帮扶协议，优质医疗服务扩面提质。完善分级诊疗制度，推进家庭医生签约服务，常住人口家庭医生签约服务覆盖率60%，重点人群签约服务覆盖率80%，每千人口拥有执业（助理）医师3.7人，人均预期寿命达到78.89岁。社会保障体系更加健全，基本医疗保险参保总数稳定在9万人以上。文化事业蓬勃发展，3项国家级、16项自治区级非遗项目得到有效保护。原创民族广场舞《森林中的考考乐》斩获全国群众文艺最高奖“群星奖”，《我们的敖鲁古雅》实景演出入选自治区重点培育演艺旅游精品项目，市图书馆被评为“全国县级以上三级图书馆”。</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民主法治建设有序推进。</w:t>
      </w:r>
      <w:r>
        <w:rPr>
          <w:rFonts w:hint="eastAsia" w:ascii="仿宋_GB2312" w:hAnsi="楷体" w:eastAsia="仿宋_GB2312"/>
          <w:sz w:val="32"/>
          <w:szCs w:val="32"/>
        </w:rPr>
        <w:t>加强人大对“一府一委两院”监督，听取审议专项工作报告105项，开展执法检查和专题调研47项，对27个政府工作部门开展工作满意度测评。办理各级人大代表建议156件，政协委员提案368件，办复率100%。持续推进法治根河建设，制定权责清单行政权力事项4245项。广泛开展“八五”普法，累计办理法律援助案件749件。民族团结进步事业走深走实，成功举办敖鲁古雅乡生态移民搬迁20周年纪念活动，敖鲁古雅鄂温克族乡被命名为“自治区民族团结进步示范区”，幸福社区被确定为自治区级各族群众互嵌式发展试点社区。</w:t>
      </w:r>
      <w:r>
        <w:rPr>
          <w:rFonts w:hint="eastAsia" w:ascii="仿宋_GB2312" w:eastAsia="仿宋_GB2312"/>
          <w:sz w:val="32"/>
          <w:szCs w:val="32"/>
        </w:rPr>
        <w:t>社会治安综合治理持续加强。构建形成市、乡镇（街道）、社区“一站式”矛盾纠纷调解中心建设体系。反诈工作经验在全区进行推广，被公安部列为“大要案件”的“5</w:t>
      </w:r>
      <w:r>
        <w:rPr>
          <w:rFonts w:hint="eastAsia" w:ascii="宋体" w:hAnsi="宋体" w:cs="宋体"/>
          <w:sz w:val="32"/>
          <w:szCs w:val="32"/>
        </w:rPr>
        <w:t>•</w:t>
      </w:r>
      <w:r>
        <w:rPr>
          <w:rFonts w:hint="eastAsia" w:ascii="仿宋_GB2312" w:eastAsia="仿宋_GB2312"/>
          <w:sz w:val="32"/>
          <w:szCs w:val="32"/>
        </w:rPr>
        <w:t>16”传销案、“6</w:t>
      </w:r>
      <w:r>
        <w:rPr>
          <w:rFonts w:hint="eastAsia" w:ascii="宋体" w:hAnsi="宋体" w:cs="宋体"/>
          <w:sz w:val="32"/>
          <w:szCs w:val="32"/>
        </w:rPr>
        <w:t>•</w:t>
      </w:r>
      <w:r>
        <w:rPr>
          <w:rFonts w:hint="eastAsia" w:ascii="仿宋_GB2312" w:eastAsia="仿宋_GB2312"/>
          <w:sz w:val="32"/>
          <w:szCs w:val="32"/>
        </w:rPr>
        <w:t>24”贷款诈骗案成功破获，人民安居乐业、社会安定有序的良好局面持续巩固。</w:t>
      </w:r>
    </w:p>
    <w:p>
      <w:pPr>
        <w:spacing w:line="576" w:lineRule="exact"/>
        <w:ind w:firstLine="640" w:firstLineChars="200"/>
        <w:rPr>
          <w:rFonts w:ascii="楷体" w:hAnsi="楷体" w:eastAsia="楷体"/>
          <w:sz w:val="32"/>
          <w:szCs w:val="32"/>
        </w:rPr>
      </w:pPr>
      <w:r>
        <w:rPr>
          <w:rFonts w:hint="eastAsia" w:ascii="仿宋_GB2312" w:hAnsi="楷体" w:eastAsia="仿宋_GB2312"/>
          <w:sz w:val="32"/>
          <w:szCs w:val="32"/>
        </w:rPr>
        <w:t>“十四五”以来，面对新冠肺炎疫情影响和推动经济转型升级、防范化解风险的艰巨任务，根河市全面贯彻党中央、国务院决策部署，深入落实自治区和呼伦贝尔市党委、政府工作要求，团结带领全市各族人民，基本完成了“十四五”规划确定的目标任务。“十五五”时期，是巩固生态安全屏障、推进生态价值转化，夯实现代化建设基础的关键时期，全市上下要树牢绿色发展理念，增强创新突破、实干担当的意识，为基本实现社会主义现代化筑牢生态根基、积蓄绿色动能。</w:t>
      </w:r>
      <w:bookmarkStart w:id="7" w:name="_Toc207178046"/>
      <w:bookmarkStart w:id="8" w:name="_Toc15581_WPSOffice_Level2"/>
      <w:bookmarkStart w:id="9" w:name="_Toc19966_WPSOffice_Level2"/>
    </w:p>
    <w:p>
      <w:pPr>
        <w:pStyle w:val="12"/>
        <w:spacing w:before="0" w:after="0" w:line="576" w:lineRule="exact"/>
        <w:outlineLvl w:val="9"/>
        <w:rPr>
          <w:rFonts w:ascii="黑体" w:hAnsi="黑体" w:eastAsia="黑体"/>
          <w:b w:val="0"/>
          <w:bCs w:val="0"/>
        </w:rPr>
      </w:pPr>
      <w:r>
        <w:rPr>
          <w:rFonts w:hint="eastAsia" w:ascii="黑体" w:hAnsi="黑体" w:eastAsia="黑体"/>
          <w:b w:val="0"/>
          <w:bCs w:val="0"/>
        </w:rPr>
        <w:t>第二节  “十五五”时期面临的</w:t>
      </w:r>
      <w:bookmarkEnd w:id="7"/>
      <w:r>
        <w:rPr>
          <w:rFonts w:hint="eastAsia" w:ascii="黑体" w:hAnsi="黑体" w:eastAsia="黑体"/>
          <w:b w:val="0"/>
          <w:bCs w:val="0"/>
        </w:rPr>
        <w:t>形势</w:t>
      </w:r>
      <w:bookmarkEnd w:id="8"/>
      <w:bookmarkEnd w:id="9"/>
    </w:p>
    <w:p>
      <w:pPr>
        <w:spacing w:line="576"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“十五五”时期，我市发展拥有诸多有利条件。国家推进西部大开发、东北全面振兴、美丽中国建设等战略，以及国务院《关于推动内蒙古高质量发展 奋力书写中国式现代化新篇章的意见》深入落实，为根河市争取政策、项目和资金支持创造了有利条件；随着“双碳”工作的纵深推进和“绿水青山就是金山银山”理念的深入实践，生态产品价值实现机制不断完善，根河市优质生态资源优势日益凸显；国家生态文明建设示范市等品牌效应持续释放，为生态优势转化为经济优势提供了机遇；文旅融合发展进入快车道，“冰雪+森林+民俗文化”融合发展前景广阔；极寒测试、林下经济等特色产业符合新质生产力发展方向，与装备制造、健康养生等产业协同发展的潜力将进一步释放。同时也要看到，高水平保护与高质量发展还需协同提升，公共服务水平与群众期盼还有一定差距，部分领域产业转型压力较大。全市各级各部门要保持战略定力，增强必胜信心，主动担当、凝心聚力在“十五五”时期实现新的更大发展。</w:t>
      </w:r>
    </w:p>
    <w:p>
      <w:pPr>
        <w:pStyle w:val="12"/>
        <w:spacing w:before="0" w:after="0"/>
        <w:outlineLvl w:val="9"/>
        <w:rPr>
          <w:rFonts w:ascii="方正小标宋简体" w:hAnsi="黑体" w:eastAsia="方正小标宋简体"/>
          <w:b w:val="0"/>
          <w:sz w:val="36"/>
          <w:szCs w:val="36"/>
        </w:rPr>
      </w:pPr>
      <w:bookmarkStart w:id="10" w:name="_Toc15581_WPSOffice_Level1"/>
      <w:bookmarkStart w:id="11" w:name="_Toc19966_WPSOffice_Level1"/>
      <w:bookmarkStart w:id="12" w:name="_Toc207178047"/>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
    <w:p/>
    <w:p/>
    <w:p/>
    <w:p/>
    <w:p/>
    <w:p/>
    <w:p/>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
      <w:pPr>
        <w:pStyle w:val="12"/>
        <w:spacing w:before="0" w:after="0"/>
        <w:outlineLvl w:val="9"/>
        <w:rPr>
          <w:rFonts w:ascii="方正小标宋简体" w:hAnsi="黑体" w:eastAsia="方正小标宋简体"/>
          <w:b w:val="0"/>
          <w:sz w:val="36"/>
          <w:szCs w:val="36"/>
        </w:rPr>
      </w:pPr>
      <w:r>
        <w:rPr>
          <w:rFonts w:hint="eastAsia" w:ascii="方正小标宋简体" w:hAnsi="黑体" w:eastAsia="方正小标宋简体"/>
          <w:b w:val="0"/>
          <w:sz w:val="36"/>
          <w:szCs w:val="36"/>
        </w:rPr>
        <w:t>第二章  “十五五”经济社会发展的总体要求</w:t>
      </w:r>
    </w:p>
    <w:p>
      <w:pPr>
        <w:pStyle w:val="12"/>
        <w:spacing w:before="0" w:after="0"/>
        <w:outlineLvl w:val="9"/>
        <w:rPr>
          <w:rFonts w:ascii="方正小标宋简体" w:hAnsi="黑体" w:eastAsia="方正小标宋简体"/>
          <w:b w:val="0"/>
          <w:sz w:val="36"/>
          <w:szCs w:val="36"/>
        </w:rPr>
      </w:pPr>
      <w:r>
        <w:rPr>
          <w:rFonts w:hint="eastAsia" w:ascii="方正小标宋简体" w:hAnsi="黑体" w:eastAsia="方正小标宋简体"/>
          <w:b w:val="0"/>
          <w:sz w:val="36"/>
          <w:szCs w:val="36"/>
        </w:rPr>
        <w:t>和主要目标</w:t>
      </w:r>
      <w:bookmarkEnd w:id="10"/>
      <w:bookmarkEnd w:id="11"/>
      <w:bookmarkEnd w:id="12"/>
    </w:p>
    <w:p>
      <w:pPr>
        <w:pStyle w:val="12"/>
        <w:spacing w:before="0" w:after="0" w:line="576" w:lineRule="exact"/>
        <w:ind w:firstLine="640" w:firstLineChars="200"/>
        <w:jc w:val="both"/>
        <w:outlineLvl w:val="9"/>
        <w:rPr>
          <w:rFonts w:ascii="黑体" w:hAnsi="黑体" w:eastAsia="黑体"/>
          <w:b w:val="0"/>
          <w:bCs w:val="0"/>
        </w:rPr>
      </w:pPr>
      <w:bookmarkStart w:id="13" w:name="_Toc9551_WPSOffice_Level2"/>
      <w:bookmarkStart w:id="14" w:name="_Toc9200_WPSOffice_Level2"/>
      <w:bookmarkStart w:id="15" w:name="_Toc207178048"/>
    </w:p>
    <w:p>
      <w:pPr>
        <w:pStyle w:val="12"/>
        <w:spacing w:before="0" w:after="0" w:line="576" w:lineRule="exact"/>
        <w:outlineLvl w:val="9"/>
        <w:rPr>
          <w:rFonts w:ascii="黑体" w:hAnsi="黑体" w:eastAsia="黑体"/>
          <w:b w:val="0"/>
          <w:bCs w:val="0"/>
        </w:rPr>
      </w:pPr>
      <w:r>
        <w:rPr>
          <w:rFonts w:hint="eastAsia" w:ascii="黑体" w:hAnsi="黑体" w:eastAsia="黑体"/>
          <w:b w:val="0"/>
          <w:bCs w:val="0"/>
        </w:rPr>
        <w:t>第一节  指导思想</w:t>
      </w:r>
      <w:bookmarkEnd w:id="13"/>
      <w:bookmarkEnd w:id="14"/>
      <w:bookmarkEnd w:id="15"/>
    </w:p>
    <w:p>
      <w:pPr>
        <w:spacing w:line="576" w:lineRule="exact"/>
        <w:ind w:firstLine="640" w:firstLineChars="200"/>
        <w:rPr>
          <w:rFonts w:ascii="仿宋_GB2312" w:hAnsi="楷体" w:eastAsia="仿宋_GB2312"/>
          <w:sz w:val="32"/>
          <w:szCs w:val="32"/>
        </w:rPr>
      </w:pPr>
      <w:r>
        <w:rPr>
          <w:rFonts w:hint="eastAsia" w:ascii="仿宋_GB2312" w:hAnsi="楷体" w:eastAsia="仿宋_GB2312"/>
          <w:sz w:val="32"/>
          <w:szCs w:val="32"/>
        </w:rPr>
        <w:t>高举中国特色社会主义伟大旗帜，坚持马克思列宁主义、毛泽东思想、邓小平理论、“三个代表”重要思想、科学发展观，全面贯彻习近平新时代中国特色社会主义思想，深入贯彻党的二十大和二十届历次全会精神，贯彻落实习近平总书记对内蒙古的重要讲话重要指示精神，深入落实自治区党委“1571”工作部署，以及呼伦贝尔市委总体安排，以铸牢中华民族共同体意识为主线，统筹推进“五位一体”总体布局，协调推进“四个全面”战略布局，完整准确全面贯彻新发展理念，积极融入和服务构建新发展格局，坚持稳中求进工作总基调，坚持以经济建设为中心，以推动高质量发展为主题，</w:t>
      </w:r>
      <w:r>
        <w:rPr>
          <w:rFonts w:hint="eastAsia" w:ascii="仿宋_GB2312" w:hAnsi="仿宋_GB2312" w:eastAsia="仿宋_GB2312" w:cs="仿宋_GB2312"/>
          <w:sz w:val="32"/>
          <w:szCs w:val="32"/>
        </w:rPr>
        <w:t>以改革创新为根本动力，</w:t>
      </w:r>
      <w:r>
        <w:rPr>
          <w:rFonts w:hint="eastAsia" w:ascii="仿宋_GB2312" w:hAnsi="楷体" w:eastAsia="仿宋_GB2312"/>
          <w:sz w:val="32"/>
          <w:szCs w:val="32"/>
        </w:rPr>
        <w:t>以满足各族人民日益增长的美好生活需要为根本目的，</w:t>
      </w:r>
      <w:r>
        <w:rPr>
          <w:rFonts w:hint="eastAsia" w:ascii="仿宋_GB2312" w:hAnsi="仿宋_GB2312" w:eastAsia="仿宋_GB2312" w:cs="仿宋_GB2312"/>
          <w:sz w:val="32"/>
          <w:szCs w:val="32"/>
        </w:rPr>
        <w:t>以全面从严治党为根本保障，推动经济实现质的有效提升和量的合理增长，推动人的全面发展、各族人民共同富裕迈出坚实步伐，</w:t>
      </w:r>
      <w:r>
        <w:rPr>
          <w:rFonts w:hint="eastAsia" w:ascii="仿宋_GB2312" w:hAnsi="楷体" w:eastAsia="仿宋_GB2312"/>
          <w:sz w:val="32"/>
          <w:szCs w:val="32"/>
        </w:rPr>
        <w:t>全力以赴建设“两个屏障”“两个基地”“一个桥头堡”，</w:t>
      </w:r>
      <w:r>
        <w:rPr>
          <w:rFonts w:hint="eastAsia" w:ascii="仿宋_GB2312" w:hAnsi="仿宋_GB2312" w:eastAsia="仿宋_GB2312" w:cs="仿宋_GB2312"/>
          <w:sz w:val="32"/>
          <w:szCs w:val="32"/>
        </w:rPr>
        <w:t>在高质量完成自治区党委“1571”部署要求上展现新作为，推动根河实现绿色发展、转型发展、高质量发展，与全国全区和呼伦贝尔市一道在基本实现社会主义现代化上取得决定性进展。</w:t>
      </w:r>
      <w:bookmarkStart w:id="16" w:name="_Toc12501_WPSOffice_Level2"/>
      <w:bookmarkStart w:id="17" w:name="_Toc13764_WPSOffice_Level2"/>
    </w:p>
    <w:p>
      <w:pPr>
        <w:pStyle w:val="12"/>
        <w:spacing w:before="0" w:after="0" w:line="576" w:lineRule="exact"/>
        <w:outlineLvl w:val="9"/>
        <w:rPr>
          <w:rFonts w:ascii="黑体" w:hAnsi="黑体" w:eastAsia="黑体"/>
          <w:b w:val="0"/>
          <w:bCs w:val="0"/>
        </w:rPr>
      </w:pPr>
      <w:r>
        <w:rPr>
          <w:rFonts w:hint="eastAsia" w:ascii="黑体" w:hAnsi="黑体" w:eastAsia="黑体"/>
          <w:b w:val="0"/>
          <w:bCs w:val="0"/>
        </w:rPr>
        <w:t>第二节  基本原则</w:t>
      </w:r>
      <w:bookmarkEnd w:id="16"/>
      <w:bookmarkEnd w:id="17"/>
    </w:p>
    <w:p>
      <w:pPr>
        <w:spacing w:line="576" w:lineRule="exact"/>
        <w:ind w:firstLine="642" w:firstLineChars="200"/>
        <w:rPr>
          <w:rFonts w:ascii="仿宋_GB2312" w:hAnsi="楷体" w:eastAsia="仿宋_GB2312"/>
          <w:sz w:val="32"/>
          <w:szCs w:val="32"/>
        </w:rPr>
      </w:pPr>
      <w:r>
        <w:rPr>
          <w:rFonts w:hint="eastAsia" w:ascii="楷体_GB2312" w:hAnsi="楷体" w:eastAsia="楷体_GB2312"/>
          <w:b/>
          <w:sz w:val="32"/>
          <w:szCs w:val="32"/>
        </w:rPr>
        <w:t>——坚持党的全面领导。</w:t>
      </w:r>
      <w:r>
        <w:rPr>
          <w:rFonts w:hint="eastAsia" w:ascii="仿宋_GB2312" w:hAnsi="楷体" w:eastAsia="仿宋_GB2312"/>
          <w:sz w:val="32"/>
          <w:szCs w:val="32"/>
        </w:rPr>
        <w:t>坚决维护党中央权威和集中统一领导，深刻领悟“两个确立”的决定性意义，增强“四个意识”、坚定“四个自信”、做到“两个维护”，把党的领导贯穿到经济社会发展各方面全过程，持续用党的创新理论统一思想、统一意志、统一行动，为实现高质量发展、推进社会主义现代化建设提供根本保证。</w:t>
      </w:r>
    </w:p>
    <w:p>
      <w:pPr>
        <w:spacing w:line="576" w:lineRule="exact"/>
        <w:ind w:firstLine="642" w:firstLineChars="200"/>
        <w:rPr>
          <w:rFonts w:ascii="仿宋_GB2312" w:hAnsi="楷体" w:eastAsia="仿宋_GB2312"/>
          <w:sz w:val="32"/>
          <w:szCs w:val="32"/>
        </w:rPr>
      </w:pPr>
      <w:r>
        <w:rPr>
          <w:rFonts w:hint="eastAsia" w:ascii="楷体_GB2312" w:hAnsi="楷体" w:eastAsia="楷体_GB2312"/>
          <w:b/>
          <w:sz w:val="32"/>
          <w:szCs w:val="32"/>
        </w:rPr>
        <w:t>——坚持人民至上。</w:t>
      </w:r>
      <w:r>
        <w:rPr>
          <w:rFonts w:hint="eastAsia" w:ascii="仿宋_GB2312" w:hAnsi="楷体" w:eastAsia="仿宋_GB2312"/>
          <w:sz w:val="32"/>
          <w:szCs w:val="32"/>
        </w:rPr>
        <w:t>坚持以人民为中心的发展思想，尊重人民主体地位，落实就业优先战略，拓宽居民增收渠道，完善社会保障体系，注重提升基本公共服务水平，促进发展成果普惠共享，在满足民生需求中拓展空间，不断实现人民对美好生活的向往。</w:t>
      </w:r>
    </w:p>
    <w:p>
      <w:pPr>
        <w:spacing w:line="576" w:lineRule="exact"/>
        <w:ind w:firstLine="642" w:firstLineChars="200"/>
        <w:rPr>
          <w:rFonts w:ascii="仿宋_GB2312" w:hAnsi="楷体" w:eastAsia="仿宋_GB2312"/>
          <w:sz w:val="32"/>
          <w:szCs w:val="32"/>
        </w:rPr>
      </w:pPr>
      <w:r>
        <w:rPr>
          <w:rFonts w:hint="eastAsia" w:ascii="楷体_GB2312" w:hAnsi="楷体" w:eastAsia="楷体_GB2312"/>
          <w:b/>
          <w:sz w:val="32"/>
          <w:szCs w:val="32"/>
        </w:rPr>
        <w:t>——坚持高质量发展。</w:t>
      </w:r>
      <w:r>
        <w:rPr>
          <w:rFonts w:hint="eastAsia" w:ascii="仿宋_GB2312" w:hAnsi="楷体" w:eastAsia="仿宋_GB2312"/>
          <w:sz w:val="32"/>
          <w:szCs w:val="32"/>
        </w:rPr>
        <w:t>以新发展理念引领发展，正确处理整体与局部的关系，下好全市发展“一盘棋”。牢固树立“绿水青山就是金山银山”理念，继续坚定不移走生态优先、绿色发展之路。深入实施科教兴国战略、人才强国战略、创新驱动发展战略，因地制宜发展新质生产力，加快培育新动能，推动经济持续健康发展和社会全面进步。</w:t>
      </w:r>
    </w:p>
    <w:p>
      <w:pPr>
        <w:spacing w:line="576" w:lineRule="exact"/>
        <w:ind w:firstLine="642" w:firstLineChars="200"/>
        <w:rPr>
          <w:rFonts w:ascii="仿宋_GB2312" w:hAnsi="楷体" w:eastAsia="仿宋_GB2312"/>
          <w:sz w:val="32"/>
          <w:szCs w:val="32"/>
        </w:rPr>
      </w:pPr>
      <w:r>
        <w:rPr>
          <w:rFonts w:hint="eastAsia" w:ascii="楷体_GB2312" w:hAnsi="楷体" w:eastAsia="楷体_GB2312"/>
          <w:b/>
          <w:sz w:val="32"/>
          <w:szCs w:val="32"/>
        </w:rPr>
        <w:t>——坚持全面深化改革。</w:t>
      </w:r>
      <w:r>
        <w:rPr>
          <w:rFonts w:hint="eastAsia" w:ascii="仿宋_GB2312" w:hAnsi="楷体" w:eastAsia="仿宋_GB2312"/>
          <w:sz w:val="32"/>
          <w:szCs w:val="32"/>
        </w:rPr>
        <w:t>聚焦制约高质量发展的体制机制障碍，推进深层次改革，构建统一、开放、竞争、有序的市场体系，建设法治经济、信用经济。扩大高水平开放，主动融入国内国际双循环，以开放促改革、促发展、促创新，持续增强发展动力和社会活力。</w:t>
      </w:r>
    </w:p>
    <w:p>
      <w:pPr>
        <w:spacing w:line="576" w:lineRule="exact"/>
        <w:ind w:firstLine="642" w:firstLineChars="200"/>
        <w:rPr>
          <w:rFonts w:ascii="仿宋_GB2312" w:hAnsi="楷体" w:eastAsia="仿宋_GB2312"/>
          <w:sz w:val="32"/>
          <w:szCs w:val="32"/>
        </w:rPr>
      </w:pPr>
      <w:r>
        <w:rPr>
          <w:rFonts w:hint="eastAsia" w:ascii="楷体_GB2312" w:hAnsi="楷体" w:eastAsia="楷体_GB2312"/>
          <w:b/>
          <w:sz w:val="32"/>
          <w:szCs w:val="32"/>
        </w:rPr>
        <w:t>——坚持有效市场和有为政府相结合。</w:t>
      </w:r>
      <w:r>
        <w:rPr>
          <w:rFonts w:hint="eastAsia" w:ascii="仿宋_GB2312" w:hAnsi="楷体" w:eastAsia="仿宋_GB2312"/>
          <w:sz w:val="32"/>
          <w:szCs w:val="32"/>
        </w:rPr>
        <w:t>充分发挥市场在资源配置中的决定性作用，加强科学宏观调控，更好发挥政府作用，处理好活力和秩序、效率和公平、发展和安全等重大关系，最大限度减少政府对市场资源的直接配置和对微观经济活动的直接干预，形成既“放得活”又“管得好”的经济秩序。</w:t>
      </w:r>
    </w:p>
    <w:p>
      <w:pPr>
        <w:spacing w:line="576" w:lineRule="exact"/>
        <w:ind w:firstLine="642" w:firstLineChars="200"/>
        <w:rPr>
          <w:rFonts w:ascii="仿宋_GB2312" w:hAnsi="楷体" w:eastAsia="仿宋_GB2312"/>
          <w:sz w:val="32"/>
          <w:szCs w:val="32"/>
        </w:rPr>
      </w:pPr>
      <w:r>
        <w:rPr>
          <w:rFonts w:hint="eastAsia" w:ascii="楷体_GB2312" w:hAnsi="楷体" w:eastAsia="楷体_GB2312"/>
          <w:b/>
          <w:sz w:val="32"/>
          <w:szCs w:val="32"/>
        </w:rPr>
        <w:t>——坚持统筹发展和安全。</w:t>
      </w:r>
      <w:r>
        <w:rPr>
          <w:rFonts w:hint="eastAsia" w:ascii="仿宋_GB2312" w:hAnsi="楷体" w:eastAsia="仿宋_GB2312"/>
          <w:sz w:val="32"/>
          <w:szCs w:val="32"/>
        </w:rPr>
        <w:t>坚定不移贯彻总体国家安全观，把维护国家安全贯穿经济社会发展工作各方面全过程，强化底线思维，加快国家安全体系和能力现代化建设，提高防范化解重大风险能力，增强经济和社会韧性，以新安全格局保障新发展格局。</w:t>
      </w:r>
    </w:p>
    <w:p>
      <w:pPr>
        <w:pStyle w:val="12"/>
        <w:spacing w:before="0" w:after="0" w:line="576" w:lineRule="exact"/>
        <w:outlineLvl w:val="9"/>
        <w:rPr>
          <w:rFonts w:ascii="黑体" w:hAnsi="黑体" w:eastAsia="黑体"/>
          <w:b w:val="0"/>
          <w:bCs w:val="0"/>
        </w:rPr>
      </w:pPr>
      <w:bookmarkStart w:id="18" w:name="_Toc22875_WPSOffice_Level2"/>
      <w:bookmarkStart w:id="19" w:name="_Toc207178050"/>
      <w:bookmarkStart w:id="20" w:name="_Toc14651_WPSOffice_Level2"/>
      <w:r>
        <w:rPr>
          <w:rFonts w:hint="eastAsia" w:ascii="黑体" w:hAnsi="黑体" w:eastAsia="黑体"/>
          <w:b w:val="0"/>
          <w:bCs w:val="0"/>
        </w:rPr>
        <w:t>第三节  主要目标</w:t>
      </w:r>
      <w:bookmarkEnd w:id="18"/>
      <w:bookmarkEnd w:id="19"/>
      <w:bookmarkEnd w:id="20"/>
    </w:p>
    <w:p>
      <w:pPr>
        <w:spacing w:line="576" w:lineRule="exact"/>
        <w:ind w:firstLine="640" w:firstLineChars="200"/>
        <w:rPr>
          <w:rFonts w:ascii="仿宋_GB2312" w:hAnsi="楷体" w:eastAsia="仿宋_GB2312"/>
          <w:sz w:val="32"/>
          <w:szCs w:val="32"/>
        </w:rPr>
      </w:pPr>
      <w:r>
        <w:rPr>
          <w:rFonts w:hint="eastAsia" w:ascii="仿宋_GB2312" w:hAnsi="楷体" w:eastAsia="仿宋_GB2312"/>
          <w:sz w:val="32"/>
          <w:szCs w:val="32"/>
        </w:rPr>
        <w:t>锚定到2035年基本实现社会主义现代化，“十五五”时期，根河市地区生产总值年均增长力争保持在4%左右，社会主义现代化建设各项事业实现更大发展。</w:t>
      </w:r>
    </w:p>
    <w:p>
      <w:pPr>
        <w:spacing w:line="576" w:lineRule="exact"/>
        <w:ind w:firstLine="642" w:firstLineChars="200"/>
        <w:rPr>
          <w:rFonts w:ascii="仿宋_GB2312" w:hAnsi="楷体" w:eastAsia="仿宋_GB2312"/>
          <w:sz w:val="32"/>
          <w:szCs w:val="32"/>
        </w:rPr>
      </w:pPr>
      <w:r>
        <w:rPr>
          <w:rFonts w:hint="eastAsia" w:ascii="楷体_GB2312" w:hAnsi="楷体" w:eastAsia="楷体_GB2312"/>
          <w:b/>
          <w:sz w:val="32"/>
          <w:szCs w:val="32"/>
        </w:rPr>
        <w:t>中华民族共同体意识建设不断深入。</w:t>
      </w:r>
      <w:r>
        <w:rPr>
          <w:rFonts w:hint="eastAsia" w:ascii="仿宋_GB2312" w:hAnsi="仿宋_GB2312" w:eastAsia="仿宋_GB2312" w:cs="仿宋_GB2312"/>
          <w:sz w:val="32"/>
          <w:szCs w:val="40"/>
        </w:rPr>
        <w:t>贯彻铸牢中华民族共同体意识主线的制度保障、责任体系、工作机制更加完善，</w:t>
      </w:r>
      <w:r>
        <w:rPr>
          <w:rFonts w:hint="eastAsia" w:ascii="仿宋_GB2312" w:hAnsi="楷体" w:eastAsia="仿宋_GB2312"/>
          <w:sz w:val="32"/>
          <w:szCs w:val="32"/>
        </w:rPr>
        <w:t>民族团结进步创建工作深入推进，中华民族共同体意识更加深入人心，在服务全方位建设模范自治区上继续走在前列、创造丰富实践、结出更多硕果。</w:t>
      </w:r>
    </w:p>
    <w:p>
      <w:pPr>
        <w:spacing w:line="576" w:lineRule="exact"/>
        <w:ind w:firstLine="642" w:firstLineChars="200"/>
        <w:rPr>
          <w:rFonts w:ascii="仿宋_GB2312" w:hAnsi="楷体" w:eastAsia="仿宋_GB2312"/>
          <w:sz w:val="32"/>
          <w:szCs w:val="32"/>
        </w:rPr>
      </w:pPr>
      <w:r>
        <w:rPr>
          <w:rFonts w:hint="eastAsia" w:ascii="楷体_GB2312" w:hAnsi="楷体" w:eastAsia="楷体_GB2312"/>
          <w:b/>
          <w:sz w:val="32"/>
          <w:szCs w:val="32"/>
        </w:rPr>
        <w:t>高质量发展取得新突破。</w:t>
      </w:r>
      <w:r>
        <w:rPr>
          <w:rFonts w:hint="eastAsia" w:ascii="仿宋_GB2312" w:hAnsi="仿宋_GB2312" w:eastAsia="仿宋_GB2312" w:cs="仿宋_GB2312"/>
          <w:sz w:val="32"/>
          <w:szCs w:val="40"/>
        </w:rPr>
        <w:t>经济增长保持在合理区间，新型工业化、信息化、城镇化取得重大进展</w:t>
      </w:r>
      <w:r>
        <w:rPr>
          <w:rFonts w:hint="eastAsia" w:ascii="仿宋_GB2312" w:hAnsi="楷体" w:eastAsia="仿宋_GB2312"/>
          <w:sz w:val="32"/>
          <w:szCs w:val="32"/>
        </w:rPr>
        <w:t>，矿产资源开发利用向全链条高质量发展转型，文化旅游业、生态产业、新兴产业蓬勃发展，重大项目接续实施，投资的关键作用进一步增强，总体实力保持稳中优进。</w:t>
      </w:r>
    </w:p>
    <w:p>
      <w:pPr>
        <w:spacing w:line="576" w:lineRule="exact"/>
        <w:ind w:firstLine="642" w:firstLineChars="200"/>
        <w:rPr>
          <w:rFonts w:ascii="仿宋_GB2312" w:hAnsi="楷体" w:eastAsia="仿宋_GB2312"/>
          <w:sz w:val="32"/>
          <w:szCs w:val="32"/>
        </w:rPr>
      </w:pPr>
      <w:r>
        <w:rPr>
          <w:rFonts w:hint="eastAsia" w:ascii="楷体_GB2312" w:hAnsi="楷体" w:eastAsia="楷体_GB2312"/>
          <w:b/>
          <w:sz w:val="32"/>
          <w:szCs w:val="32"/>
        </w:rPr>
        <w:t>生态文明建设取得新成效。</w:t>
      </w:r>
      <w:r>
        <w:rPr>
          <w:rFonts w:hint="eastAsia" w:ascii="仿宋_GB2312" w:eastAsia="仿宋_GB2312"/>
          <w:sz w:val="32"/>
          <w:szCs w:val="32"/>
        </w:rPr>
        <w:t>国家生态文明示范市和“绿水青山就是金山银山”实践创新基地创建成果持续巩固</w:t>
      </w:r>
      <w:r>
        <w:rPr>
          <w:rFonts w:hint="eastAsia" w:ascii="仿宋_GB2312" w:hAnsi="楷体" w:eastAsia="仿宋_GB2312"/>
          <w:sz w:val="32"/>
          <w:szCs w:val="32"/>
        </w:rPr>
        <w:t>，生态系统多样性稳定性持续性进一步提升，城镇人居环境明显改善，资源利用效率大幅提升，碳达峰目标如期实现，生态产品价值转化实现突破，美丽根河建设取得显著成效。</w:t>
      </w:r>
    </w:p>
    <w:p>
      <w:pPr>
        <w:spacing w:line="576" w:lineRule="exact"/>
        <w:ind w:firstLine="642" w:firstLineChars="200"/>
        <w:rPr>
          <w:rFonts w:ascii="仿宋_GB2312" w:hAnsi="楷体" w:eastAsia="仿宋_GB2312"/>
          <w:sz w:val="32"/>
          <w:szCs w:val="32"/>
        </w:rPr>
      </w:pPr>
      <w:r>
        <w:rPr>
          <w:rFonts w:hint="eastAsia" w:ascii="楷体_GB2312" w:hAnsi="楷体" w:eastAsia="楷体_GB2312"/>
          <w:b/>
          <w:sz w:val="32"/>
          <w:szCs w:val="32"/>
        </w:rPr>
        <w:t>改革开放和创新发展迈出新步伐。</w:t>
      </w:r>
      <w:r>
        <w:rPr>
          <w:rFonts w:hint="eastAsia" w:ascii="仿宋_GB2312" w:eastAsia="仿宋_GB2312"/>
          <w:sz w:val="32"/>
          <w:szCs w:val="32"/>
        </w:rPr>
        <w:t>进一步全面深化改革任务高质高效完成，发展活力动力潜力充分释放，全过程人民民主深入发展，法治建设达到更高水平。</w:t>
      </w:r>
      <w:r>
        <w:rPr>
          <w:rFonts w:hint="eastAsia" w:ascii="仿宋_GB2312" w:hAnsi="楷体" w:eastAsia="仿宋_GB2312"/>
          <w:sz w:val="32"/>
          <w:szCs w:val="32"/>
        </w:rPr>
        <w:t>国内大循环、国内国际双循环的发展格局更深融入，区域合作的良好开放格局逐步形成，发展动力和活力持续增强。</w:t>
      </w:r>
    </w:p>
    <w:p>
      <w:pPr>
        <w:spacing w:line="576" w:lineRule="exact"/>
        <w:ind w:firstLine="642" w:firstLineChars="200"/>
        <w:rPr>
          <w:rFonts w:ascii="仿宋_GB2312" w:hAnsi="楷体" w:eastAsia="仿宋_GB2312"/>
          <w:sz w:val="32"/>
          <w:szCs w:val="32"/>
        </w:rPr>
      </w:pPr>
      <w:r>
        <w:rPr>
          <w:rFonts w:hint="eastAsia" w:ascii="楷体_GB2312" w:hAnsi="楷体" w:eastAsia="楷体_GB2312"/>
          <w:b/>
          <w:sz w:val="32"/>
          <w:szCs w:val="32"/>
        </w:rPr>
        <w:t>社会文明程度提升取得新进展。</w:t>
      </w:r>
      <w:r>
        <w:rPr>
          <w:rFonts w:hint="eastAsia" w:ascii="仿宋_GB2312" w:hAnsi="楷体" w:eastAsia="仿宋_GB2312"/>
          <w:sz w:val="32"/>
          <w:szCs w:val="32"/>
        </w:rPr>
        <w:t>社会主义核心价值观广泛践行，公共文化服务能力和水平大幅提升，文化艺术更加繁荣，使鹿部落传统民俗文化得到传承和保护，</w:t>
      </w:r>
      <w:r>
        <w:rPr>
          <w:rFonts w:hint="eastAsia" w:ascii="仿宋_GB2312" w:hAnsi="仿宋_GB2312" w:eastAsia="仿宋_GB2312" w:cs="仿宋_GB2312"/>
          <w:sz w:val="32"/>
          <w:szCs w:val="40"/>
        </w:rPr>
        <w:t>各族</w:t>
      </w:r>
      <w:r>
        <w:rPr>
          <w:rFonts w:hint="eastAsia" w:ascii="仿宋_GB2312" w:hAnsi="楷体" w:eastAsia="仿宋_GB2312"/>
          <w:sz w:val="32"/>
          <w:szCs w:val="32"/>
        </w:rPr>
        <w:t>人民精神文化生活更加丰富，</w:t>
      </w:r>
      <w:r>
        <w:rPr>
          <w:rFonts w:hint="eastAsia" w:ascii="仿宋_GB2312" w:hAnsi="仿宋_GB2312" w:eastAsia="仿宋_GB2312" w:cs="仿宋_GB2312"/>
          <w:sz w:val="32"/>
          <w:szCs w:val="40"/>
        </w:rPr>
        <w:t>群众道德素质、科学文化素质、身心健康素质进一步提高，中华民族共有精神家园更加巩固。</w:t>
      </w:r>
    </w:p>
    <w:p>
      <w:pPr>
        <w:spacing w:line="576" w:lineRule="exact"/>
        <w:ind w:firstLine="642" w:firstLineChars="200"/>
        <w:rPr>
          <w:rFonts w:ascii="仿宋_GB2312" w:hAnsi="楷体" w:eastAsia="仿宋_GB2312"/>
          <w:sz w:val="32"/>
          <w:szCs w:val="32"/>
        </w:rPr>
      </w:pPr>
      <w:r>
        <w:rPr>
          <w:rFonts w:hint="eastAsia" w:ascii="楷体_GB2312" w:hAnsi="楷体" w:eastAsia="楷体_GB2312"/>
          <w:b/>
          <w:sz w:val="32"/>
          <w:szCs w:val="32"/>
        </w:rPr>
        <w:t>民生福祉达到更高水平。</w:t>
      </w:r>
      <w:r>
        <w:rPr>
          <w:rFonts w:hint="eastAsia" w:ascii="仿宋_GB2312" w:hAnsi="楷体" w:eastAsia="仿宋_GB2312"/>
          <w:sz w:val="32"/>
          <w:szCs w:val="32"/>
        </w:rPr>
        <w:t>居民收入增长与经济增长基本同步，多层次社会保障体系更加健全，城乡收入差距持续缩小。城区基本公共服务质量进一步提高，城镇基本公共服务均等化水平明显提升，群众获得感、幸福感、安全感更加充实、更有保障、更可持续，各族人民共同富裕扎实推进。</w:t>
      </w:r>
    </w:p>
    <w:p>
      <w:pPr>
        <w:spacing w:line="576" w:lineRule="exact"/>
        <w:ind w:firstLine="642" w:firstLineChars="200"/>
        <w:rPr>
          <w:rFonts w:ascii="仿宋_GB2312" w:hAnsi="楷体" w:eastAsia="仿宋_GB2312"/>
          <w:sz w:val="32"/>
          <w:szCs w:val="32"/>
        </w:rPr>
      </w:pPr>
      <w:r>
        <w:rPr>
          <w:rFonts w:hint="eastAsia" w:ascii="楷体_GB2312" w:hAnsi="楷体" w:eastAsia="楷体_GB2312"/>
          <w:b/>
          <w:sz w:val="32"/>
          <w:szCs w:val="32"/>
        </w:rPr>
        <w:t>社会治理水平取得新提升。</w:t>
      </w:r>
      <w:r>
        <w:rPr>
          <w:rFonts w:hint="eastAsia" w:ascii="仿宋_GB2312" w:hAnsi="楷体" w:eastAsia="仿宋_GB2312"/>
          <w:sz w:val="32"/>
          <w:szCs w:val="32"/>
        </w:rPr>
        <w:t>国家安全更加巩固，法治政府建设更加深入，社会治理体系更加健全，平安根河建设扎实推进，全过程人民民主制度化、规范化、程序化水平进一步提高，森林草原防火、安全生产等风险防控能力显著增强，北疆安全稳定局面持续巩固。</w:t>
      </w:r>
    </w:p>
    <w:p>
      <w:pPr>
        <w:spacing w:line="576" w:lineRule="exact"/>
        <w:ind w:firstLine="640" w:firstLineChars="200"/>
        <w:rPr>
          <w:rFonts w:ascii="仿宋_GB2312" w:hAnsi="仿宋_GB2312" w:eastAsia="仿宋_GB2312" w:cs="仿宋_GB2312"/>
          <w:sz w:val="32"/>
          <w:szCs w:val="40"/>
        </w:rPr>
      </w:pPr>
      <w:r>
        <w:rPr>
          <w:rFonts w:hint="eastAsia" w:ascii="仿宋_GB2312" w:hAnsi="仿宋_GB2312" w:eastAsia="仿宋_GB2312" w:cs="仿宋_GB2312"/>
          <w:sz w:val="32"/>
          <w:szCs w:val="40"/>
        </w:rPr>
        <w:t>在此基础上再奋斗五年，到二〇三五年，全市综合经济实力稳步提升，人均地区生产总值和居民收入迈上更高台阶，“两个屏障”“两个基地”“一个桥头堡”作用进一步提升，聚力自治区“在推进中华民族共同体建设、边疆民族地区共同富裕上继续走在前列，在建设国家生态安全屏障、安全稳定屏障上继续走在前列”以及“抓好建设体现内蒙古特色优势的现代化产业体系、因地制宜加快高水平科技自立自强、深度对接全国统一大市场、构建高水平社会主义市场经济体制、优化区域经济布局、繁荣发展社会主义文化、加大保障和改善民生力度”七项重点工作勇当排头兵、多做新贡献，同全国全区和呼伦贝尔市一道基本实现社会主义现代化。</w:t>
      </w:r>
    </w:p>
    <w:tbl>
      <w:tblPr>
        <w:tblStyle w:val="14"/>
        <w:tblW w:w="10160"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785"/>
        <w:gridCol w:w="1447"/>
        <w:gridCol w:w="1562"/>
        <w:gridCol w:w="992"/>
        <w:gridCol w:w="1418"/>
        <w:gridCol w:w="1300"/>
        <w:gridCol w:w="1418"/>
        <w:gridCol w:w="1238"/>
      </w:tblGrid>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7" w:hRule="atLeast"/>
          <w:jc w:val="center"/>
        </w:trPr>
        <w:tc>
          <w:tcPr>
            <w:tcW w:w="10160" w:type="dxa"/>
            <w:gridSpan w:val="8"/>
          </w:tcPr>
          <w:p>
            <w:pPr>
              <w:spacing w:line="400" w:lineRule="exact"/>
              <w:contextualSpacing/>
              <w:jc w:val="center"/>
              <w:rPr>
                <w:rFonts w:ascii="黑体" w:hAnsi="黑体" w:eastAsia="黑体"/>
                <w:sz w:val="24"/>
                <w:szCs w:val="24"/>
              </w:rPr>
            </w:pPr>
            <w:r>
              <w:rPr>
                <w:rFonts w:hint="eastAsia" w:ascii="黑体" w:hAnsi="黑体" w:eastAsia="黑体"/>
                <w:sz w:val="24"/>
                <w:szCs w:val="24"/>
              </w:rPr>
              <w:t>专栏1 根河市“十五五”时期经济社会发展主要指标表</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785" w:type="dxa"/>
            <w:vAlign w:val="center"/>
          </w:tcPr>
          <w:p>
            <w:pPr>
              <w:spacing w:line="400" w:lineRule="exact"/>
              <w:contextualSpacing/>
              <w:jc w:val="center"/>
              <w:rPr>
                <w:rFonts w:ascii="仿宋_GB2312" w:hAnsi="楷体" w:eastAsia="仿宋_GB2312"/>
                <w:b/>
                <w:sz w:val="24"/>
                <w:szCs w:val="24"/>
              </w:rPr>
            </w:pPr>
            <w:r>
              <w:rPr>
                <w:rFonts w:hint="eastAsia" w:ascii="仿宋_GB2312" w:hAnsi="楷体" w:eastAsia="仿宋_GB2312"/>
                <w:b/>
                <w:sz w:val="24"/>
                <w:szCs w:val="24"/>
              </w:rPr>
              <w:t>序号</w:t>
            </w:r>
          </w:p>
        </w:tc>
        <w:tc>
          <w:tcPr>
            <w:tcW w:w="3009" w:type="dxa"/>
            <w:gridSpan w:val="2"/>
            <w:vAlign w:val="center"/>
          </w:tcPr>
          <w:p>
            <w:pPr>
              <w:spacing w:line="400" w:lineRule="exact"/>
              <w:contextualSpacing/>
              <w:jc w:val="center"/>
              <w:rPr>
                <w:rFonts w:ascii="仿宋_GB2312" w:hAnsi="楷体" w:eastAsia="仿宋_GB2312"/>
                <w:b/>
                <w:sz w:val="24"/>
                <w:szCs w:val="24"/>
              </w:rPr>
            </w:pPr>
            <w:r>
              <w:rPr>
                <w:rFonts w:hint="eastAsia" w:ascii="仿宋_GB2312" w:hAnsi="楷体" w:eastAsia="仿宋_GB2312"/>
                <w:b/>
                <w:sz w:val="24"/>
                <w:szCs w:val="24"/>
              </w:rPr>
              <w:t>指标名称</w:t>
            </w:r>
          </w:p>
        </w:tc>
        <w:tc>
          <w:tcPr>
            <w:tcW w:w="992" w:type="dxa"/>
            <w:vAlign w:val="center"/>
          </w:tcPr>
          <w:p>
            <w:pPr>
              <w:spacing w:line="400" w:lineRule="exact"/>
              <w:contextualSpacing/>
              <w:jc w:val="center"/>
              <w:rPr>
                <w:rFonts w:ascii="仿宋_GB2312" w:hAnsi="楷体" w:eastAsia="仿宋_GB2312"/>
                <w:b/>
                <w:sz w:val="24"/>
                <w:szCs w:val="24"/>
              </w:rPr>
            </w:pPr>
            <w:r>
              <w:rPr>
                <w:rFonts w:hint="eastAsia" w:ascii="仿宋_GB2312" w:hAnsi="楷体" w:eastAsia="仿宋_GB2312"/>
                <w:b/>
                <w:sz w:val="24"/>
                <w:szCs w:val="24"/>
              </w:rPr>
              <w:t>单位</w:t>
            </w:r>
          </w:p>
        </w:tc>
        <w:tc>
          <w:tcPr>
            <w:tcW w:w="1418" w:type="dxa"/>
            <w:vAlign w:val="center"/>
          </w:tcPr>
          <w:p>
            <w:pPr>
              <w:spacing w:line="400" w:lineRule="exact"/>
              <w:contextualSpacing/>
              <w:jc w:val="center"/>
              <w:rPr>
                <w:rFonts w:ascii="仿宋_GB2312" w:hAnsi="楷体" w:eastAsia="仿宋_GB2312"/>
                <w:b/>
                <w:sz w:val="24"/>
                <w:szCs w:val="24"/>
              </w:rPr>
            </w:pPr>
            <w:r>
              <w:rPr>
                <w:rFonts w:hint="eastAsia" w:ascii="仿宋_GB2312" w:hAnsi="楷体" w:eastAsia="仿宋_GB2312"/>
                <w:b/>
                <w:sz w:val="24"/>
                <w:szCs w:val="24"/>
              </w:rPr>
              <w:t>2025年</w:t>
            </w:r>
          </w:p>
        </w:tc>
        <w:tc>
          <w:tcPr>
            <w:tcW w:w="1300" w:type="dxa"/>
            <w:vAlign w:val="center"/>
          </w:tcPr>
          <w:p>
            <w:pPr>
              <w:spacing w:line="400" w:lineRule="exact"/>
              <w:contextualSpacing/>
              <w:jc w:val="center"/>
              <w:rPr>
                <w:rFonts w:ascii="仿宋_GB2312" w:hAnsi="楷体" w:eastAsia="仿宋_GB2312"/>
                <w:b/>
                <w:sz w:val="24"/>
                <w:szCs w:val="24"/>
              </w:rPr>
            </w:pPr>
            <w:r>
              <w:rPr>
                <w:rFonts w:hint="eastAsia" w:ascii="仿宋_GB2312" w:hAnsi="楷体" w:eastAsia="仿宋_GB2312"/>
                <w:b/>
                <w:sz w:val="24"/>
                <w:szCs w:val="24"/>
              </w:rPr>
              <w:t>2030年</w:t>
            </w:r>
          </w:p>
        </w:tc>
        <w:tc>
          <w:tcPr>
            <w:tcW w:w="1418" w:type="dxa"/>
            <w:vAlign w:val="center"/>
          </w:tcPr>
          <w:p>
            <w:pPr>
              <w:spacing w:line="400" w:lineRule="exact"/>
              <w:contextualSpacing/>
              <w:jc w:val="center"/>
              <w:rPr>
                <w:rFonts w:ascii="仿宋_GB2312" w:hAnsi="楷体" w:eastAsia="仿宋_GB2312"/>
                <w:b/>
                <w:sz w:val="24"/>
                <w:szCs w:val="24"/>
              </w:rPr>
            </w:pPr>
            <w:r>
              <w:rPr>
                <w:rFonts w:hint="eastAsia" w:ascii="仿宋_GB2312" w:hAnsi="楷体" w:eastAsia="仿宋_GB2312"/>
                <w:b/>
                <w:sz w:val="24"/>
                <w:szCs w:val="24"/>
              </w:rPr>
              <w:t>年均/累计</w:t>
            </w:r>
          </w:p>
        </w:tc>
        <w:tc>
          <w:tcPr>
            <w:tcW w:w="1238" w:type="dxa"/>
          </w:tcPr>
          <w:p>
            <w:pPr>
              <w:spacing w:line="400" w:lineRule="exact"/>
              <w:contextualSpacing/>
              <w:jc w:val="center"/>
              <w:rPr>
                <w:rFonts w:ascii="仿宋_GB2312" w:hAnsi="楷体" w:eastAsia="仿宋_GB2312"/>
                <w:b/>
                <w:sz w:val="24"/>
                <w:szCs w:val="24"/>
              </w:rPr>
            </w:pPr>
            <w:r>
              <w:rPr>
                <w:rFonts w:hint="eastAsia" w:ascii="仿宋_GB2312" w:hAnsi="楷体" w:eastAsia="仿宋_GB2312"/>
                <w:b/>
                <w:sz w:val="24"/>
                <w:szCs w:val="24"/>
              </w:rPr>
              <w:t>目标属性</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160" w:type="dxa"/>
            <w:gridSpan w:val="8"/>
          </w:tcPr>
          <w:p>
            <w:pPr>
              <w:spacing w:line="340" w:lineRule="exact"/>
              <w:contextualSpacing/>
              <w:rPr>
                <w:rFonts w:ascii="仿宋_GB2312" w:hAnsi="楷体" w:eastAsia="黑体"/>
                <w:sz w:val="24"/>
                <w:szCs w:val="24"/>
              </w:rPr>
            </w:pPr>
            <w:r>
              <w:rPr>
                <w:rFonts w:hint="eastAsia" w:ascii="仿宋_GB2312" w:hAnsi="楷体" w:eastAsia="黑体"/>
                <w:sz w:val="24"/>
                <w:szCs w:val="24"/>
              </w:rPr>
              <w:t>经济发展</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785"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1</w:t>
            </w:r>
          </w:p>
        </w:tc>
        <w:tc>
          <w:tcPr>
            <w:tcW w:w="3009" w:type="dxa"/>
            <w:gridSpan w:val="2"/>
            <w:vAlign w:val="center"/>
          </w:tcPr>
          <w:p>
            <w:pPr>
              <w:spacing w:line="340" w:lineRule="exact"/>
              <w:contextualSpacing/>
              <w:rPr>
                <w:rFonts w:ascii="仿宋_GB2312" w:hAnsi="楷体" w:eastAsia="仿宋_GB2312"/>
                <w:sz w:val="24"/>
                <w:szCs w:val="24"/>
              </w:rPr>
            </w:pPr>
            <w:r>
              <w:rPr>
                <w:rFonts w:hint="eastAsia" w:ascii="仿宋_GB2312" w:hAnsi="楷体" w:eastAsia="仿宋_GB2312"/>
                <w:sz w:val="24"/>
                <w:szCs w:val="24"/>
              </w:rPr>
              <w:t>地区生产总值增长</w:t>
            </w:r>
          </w:p>
        </w:tc>
        <w:tc>
          <w:tcPr>
            <w:tcW w:w="992"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w:t>
            </w:r>
          </w:p>
        </w:tc>
        <w:tc>
          <w:tcPr>
            <w:tcW w:w="141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5.3</w:t>
            </w:r>
          </w:p>
        </w:tc>
        <w:tc>
          <w:tcPr>
            <w:tcW w:w="1300"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w:t>
            </w:r>
          </w:p>
        </w:tc>
        <w:tc>
          <w:tcPr>
            <w:tcW w:w="141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4左右</w:t>
            </w:r>
          </w:p>
        </w:tc>
        <w:tc>
          <w:tcPr>
            <w:tcW w:w="123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预期性</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785"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2</w:t>
            </w:r>
          </w:p>
        </w:tc>
        <w:tc>
          <w:tcPr>
            <w:tcW w:w="3009" w:type="dxa"/>
            <w:gridSpan w:val="2"/>
            <w:vAlign w:val="center"/>
          </w:tcPr>
          <w:p>
            <w:pPr>
              <w:spacing w:line="340" w:lineRule="exact"/>
              <w:contextualSpacing/>
              <w:jc w:val="left"/>
              <w:rPr>
                <w:rFonts w:ascii="仿宋_GB2312" w:hAnsi="楷体" w:eastAsia="仿宋_GB2312"/>
                <w:sz w:val="24"/>
                <w:szCs w:val="24"/>
              </w:rPr>
            </w:pPr>
            <w:r>
              <w:rPr>
                <w:rFonts w:hint="eastAsia" w:ascii="仿宋_GB2312" w:hAnsi="楷体" w:eastAsia="仿宋_GB2312"/>
                <w:sz w:val="24"/>
                <w:szCs w:val="24"/>
              </w:rPr>
              <w:t>全员劳动生产率</w:t>
            </w:r>
          </w:p>
        </w:tc>
        <w:tc>
          <w:tcPr>
            <w:tcW w:w="992"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w:t>
            </w:r>
          </w:p>
        </w:tc>
        <w:tc>
          <w:tcPr>
            <w:tcW w:w="141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预计9左右</w:t>
            </w:r>
          </w:p>
        </w:tc>
        <w:tc>
          <w:tcPr>
            <w:tcW w:w="1300"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w:t>
            </w:r>
          </w:p>
        </w:tc>
        <w:tc>
          <w:tcPr>
            <w:tcW w:w="141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5左右</w:t>
            </w:r>
          </w:p>
        </w:tc>
        <w:tc>
          <w:tcPr>
            <w:tcW w:w="123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预期性</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785"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3</w:t>
            </w:r>
          </w:p>
        </w:tc>
        <w:tc>
          <w:tcPr>
            <w:tcW w:w="3009" w:type="dxa"/>
            <w:gridSpan w:val="2"/>
            <w:vAlign w:val="center"/>
          </w:tcPr>
          <w:p>
            <w:pPr>
              <w:spacing w:line="340" w:lineRule="exact"/>
              <w:contextualSpacing/>
              <w:jc w:val="left"/>
              <w:rPr>
                <w:rFonts w:ascii="仿宋_GB2312" w:hAnsi="楷体" w:eastAsia="仿宋_GB2312"/>
                <w:sz w:val="24"/>
                <w:szCs w:val="24"/>
              </w:rPr>
            </w:pPr>
            <w:r>
              <w:rPr>
                <w:rFonts w:hint="eastAsia" w:ascii="仿宋_GB2312" w:hAnsi="楷体" w:eastAsia="仿宋_GB2312"/>
                <w:sz w:val="24"/>
                <w:szCs w:val="24"/>
              </w:rPr>
              <w:t>常住人口城镇化率</w:t>
            </w:r>
          </w:p>
        </w:tc>
        <w:tc>
          <w:tcPr>
            <w:tcW w:w="992"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w:t>
            </w:r>
          </w:p>
        </w:tc>
        <w:tc>
          <w:tcPr>
            <w:tcW w:w="141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预计99.92</w:t>
            </w:r>
          </w:p>
        </w:tc>
        <w:tc>
          <w:tcPr>
            <w:tcW w:w="1300"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99.95</w:t>
            </w:r>
          </w:p>
        </w:tc>
        <w:tc>
          <w:tcPr>
            <w:tcW w:w="1418" w:type="dxa"/>
            <w:vAlign w:val="center"/>
          </w:tcPr>
          <w:p>
            <w:pPr>
              <w:spacing w:line="340" w:lineRule="exact"/>
              <w:contextualSpacing/>
              <w:jc w:val="center"/>
              <w:rPr>
                <w:rFonts w:ascii="仿宋_GB2312" w:hAnsi="楷体" w:eastAsia="仿宋_GB2312"/>
                <w:sz w:val="24"/>
                <w:szCs w:val="24"/>
              </w:rPr>
            </w:pPr>
            <w:r>
              <w:rPr>
                <w:rFonts w:ascii="仿宋_GB2312" w:hAnsi="楷体" w:eastAsia="仿宋_GB2312"/>
                <w:sz w:val="24"/>
                <w:szCs w:val="24"/>
              </w:rPr>
              <w:t>-</w:t>
            </w:r>
          </w:p>
        </w:tc>
        <w:tc>
          <w:tcPr>
            <w:tcW w:w="123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预期性</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54" w:hRule="atLeast"/>
          <w:jc w:val="center"/>
        </w:trPr>
        <w:tc>
          <w:tcPr>
            <w:tcW w:w="10160" w:type="dxa"/>
            <w:gridSpan w:val="8"/>
            <w:vAlign w:val="center"/>
          </w:tcPr>
          <w:p>
            <w:pPr>
              <w:spacing w:line="340" w:lineRule="exact"/>
              <w:contextualSpacing/>
              <w:rPr>
                <w:rFonts w:ascii="仿宋_GB2312" w:hAnsi="楷体" w:eastAsia="黑体"/>
                <w:sz w:val="24"/>
                <w:szCs w:val="24"/>
              </w:rPr>
            </w:pPr>
            <w:r>
              <w:rPr>
                <w:rFonts w:hint="eastAsia" w:ascii="仿宋_GB2312" w:hAnsi="楷体" w:eastAsia="黑体"/>
                <w:sz w:val="24"/>
                <w:szCs w:val="24"/>
              </w:rPr>
              <w:t>民生福祉</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785"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4</w:t>
            </w:r>
          </w:p>
        </w:tc>
        <w:tc>
          <w:tcPr>
            <w:tcW w:w="3009" w:type="dxa"/>
            <w:gridSpan w:val="2"/>
            <w:vAlign w:val="center"/>
          </w:tcPr>
          <w:p>
            <w:pPr>
              <w:spacing w:line="340" w:lineRule="exact"/>
              <w:contextualSpacing/>
              <w:rPr>
                <w:rFonts w:ascii="仿宋_GB2312" w:hAnsi="楷体" w:eastAsia="仿宋_GB2312"/>
                <w:sz w:val="24"/>
                <w:szCs w:val="24"/>
              </w:rPr>
            </w:pPr>
            <w:r>
              <w:rPr>
                <w:rFonts w:hint="eastAsia" w:ascii="仿宋_GB2312" w:hAnsi="楷体" w:eastAsia="仿宋_GB2312"/>
                <w:sz w:val="24"/>
                <w:szCs w:val="24"/>
              </w:rPr>
              <w:t>城镇新就业人数</w:t>
            </w:r>
          </w:p>
        </w:tc>
        <w:tc>
          <w:tcPr>
            <w:tcW w:w="992"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人</w:t>
            </w:r>
          </w:p>
        </w:tc>
        <w:tc>
          <w:tcPr>
            <w:tcW w:w="141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1100</w:t>
            </w:r>
          </w:p>
        </w:tc>
        <w:tc>
          <w:tcPr>
            <w:tcW w:w="1300"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1200</w:t>
            </w:r>
          </w:p>
        </w:tc>
        <w:tc>
          <w:tcPr>
            <w:tcW w:w="1418" w:type="dxa"/>
            <w:vAlign w:val="center"/>
          </w:tcPr>
          <w:p>
            <w:pPr>
              <w:spacing w:line="340" w:lineRule="exact"/>
              <w:contextualSpacing/>
              <w:jc w:val="center"/>
              <w:rPr>
                <w:rFonts w:ascii="仿宋_GB2312" w:hAnsi="楷体" w:eastAsia="仿宋_GB2312"/>
                <w:sz w:val="24"/>
                <w:szCs w:val="24"/>
              </w:rPr>
            </w:pPr>
            <w:r>
              <w:rPr>
                <w:rFonts w:ascii="仿宋_GB2312" w:hAnsi="楷体" w:eastAsia="仿宋_GB2312"/>
                <w:sz w:val="24"/>
                <w:szCs w:val="24"/>
              </w:rPr>
              <w:t>-</w:t>
            </w:r>
          </w:p>
        </w:tc>
        <w:tc>
          <w:tcPr>
            <w:tcW w:w="1238" w:type="dxa"/>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预期性</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785"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5</w:t>
            </w:r>
          </w:p>
        </w:tc>
        <w:tc>
          <w:tcPr>
            <w:tcW w:w="3009" w:type="dxa"/>
            <w:gridSpan w:val="2"/>
            <w:vAlign w:val="center"/>
          </w:tcPr>
          <w:p>
            <w:pPr>
              <w:spacing w:line="340" w:lineRule="exact"/>
              <w:contextualSpacing/>
              <w:rPr>
                <w:rFonts w:ascii="仿宋_GB2312" w:hAnsi="楷体" w:eastAsia="仿宋_GB2312"/>
                <w:sz w:val="24"/>
                <w:szCs w:val="24"/>
              </w:rPr>
            </w:pPr>
            <w:r>
              <w:rPr>
                <w:rFonts w:hint="eastAsia" w:ascii="仿宋_GB2312" w:hAnsi="楷体" w:eastAsia="仿宋_GB2312"/>
                <w:sz w:val="24"/>
                <w:szCs w:val="24"/>
              </w:rPr>
              <w:t>居民人均可支配收入增长</w:t>
            </w:r>
          </w:p>
        </w:tc>
        <w:tc>
          <w:tcPr>
            <w:tcW w:w="992"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w:t>
            </w:r>
          </w:p>
        </w:tc>
        <w:tc>
          <w:tcPr>
            <w:tcW w:w="141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3.7</w:t>
            </w:r>
          </w:p>
        </w:tc>
        <w:tc>
          <w:tcPr>
            <w:tcW w:w="1300"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w:t>
            </w:r>
          </w:p>
        </w:tc>
        <w:tc>
          <w:tcPr>
            <w:tcW w:w="141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4左右</w:t>
            </w:r>
          </w:p>
        </w:tc>
        <w:tc>
          <w:tcPr>
            <w:tcW w:w="1238" w:type="dxa"/>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预期性</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785"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6</w:t>
            </w:r>
          </w:p>
        </w:tc>
        <w:tc>
          <w:tcPr>
            <w:tcW w:w="3009" w:type="dxa"/>
            <w:gridSpan w:val="2"/>
            <w:vAlign w:val="center"/>
          </w:tcPr>
          <w:p>
            <w:pPr>
              <w:spacing w:line="340" w:lineRule="exact"/>
              <w:contextualSpacing/>
              <w:rPr>
                <w:rFonts w:ascii="仿宋_GB2312" w:hAnsi="楷体" w:eastAsia="仿宋_GB2312"/>
                <w:sz w:val="24"/>
                <w:szCs w:val="24"/>
              </w:rPr>
            </w:pPr>
            <w:r>
              <w:rPr>
                <w:rFonts w:hint="eastAsia" w:ascii="仿宋_GB2312" w:hAnsi="楷体" w:eastAsia="仿宋_GB2312"/>
                <w:sz w:val="24"/>
                <w:szCs w:val="24"/>
              </w:rPr>
              <w:t>人均预期寿命</w:t>
            </w:r>
          </w:p>
        </w:tc>
        <w:tc>
          <w:tcPr>
            <w:tcW w:w="992"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岁</w:t>
            </w:r>
          </w:p>
        </w:tc>
        <w:tc>
          <w:tcPr>
            <w:tcW w:w="141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78.89</w:t>
            </w:r>
          </w:p>
        </w:tc>
        <w:tc>
          <w:tcPr>
            <w:tcW w:w="1300"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79.2</w:t>
            </w:r>
          </w:p>
        </w:tc>
        <w:tc>
          <w:tcPr>
            <w:tcW w:w="141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w:t>
            </w:r>
          </w:p>
        </w:tc>
        <w:tc>
          <w:tcPr>
            <w:tcW w:w="1238" w:type="dxa"/>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预期性</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785" w:type="dxa"/>
            <w:vMerge w:val="restart"/>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7</w:t>
            </w:r>
          </w:p>
        </w:tc>
        <w:tc>
          <w:tcPr>
            <w:tcW w:w="1447" w:type="dxa"/>
            <w:vMerge w:val="restart"/>
            <w:vAlign w:val="center"/>
          </w:tcPr>
          <w:p>
            <w:pPr>
              <w:spacing w:line="340" w:lineRule="exact"/>
              <w:contextualSpacing/>
              <w:rPr>
                <w:rFonts w:ascii="仿宋_GB2312" w:hAnsi="楷体" w:eastAsia="仿宋_GB2312"/>
                <w:sz w:val="24"/>
                <w:szCs w:val="24"/>
              </w:rPr>
            </w:pPr>
            <w:r>
              <w:rPr>
                <w:rFonts w:hint="eastAsia" w:ascii="仿宋_GB2312" w:hAnsi="楷体" w:eastAsia="仿宋_GB2312"/>
                <w:sz w:val="24"/>
                <w:szCs w:val="24"/>
              </w:rPr>
              <w:t>每千人口拥有医护人员数</w:t>
            </w:r>
          </w:p>
        </w:tc>
        <w:tc>
          <w:tcPr>
            <w:tcW w:w="1562" w:type="dxa"/>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执业（助理）医师数</w:t>
            </w:r>
          </w:p>
        </w:tc>
        <w:tc>
          <w:tcPr>
            <w:tcW w:w="992"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人</w:t>
            </w:r>
          </w:p>
        </w:tc>
        <w:tc>
          <w:tcPr>
            <w:tcW w:w="141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3.7</w:t>
            </w:r>
          </w:p>
        </w:tc>
        <w:tc>
          <w:tcPr>
            <w:tcW w:w="1300"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4.4</w:t>
            </w:r>
          </w:p>
        </w:tc>
        <w:tc>
          <w:tcPr>
            <w:tcW w:w="141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w:t>
            </w:r>
          </w:p>
        </w:tc>
        <w:tc>
          <w:tcPr>
            <w:tcW w:w="1238" w:type="dxa"/>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预期性</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785" w:type="dxa"/>
            <w:vMerge w:val="continue"/>
            <w:vAlign w:val="center"/>
          </w:tcPr>
          <w:p>
            <w:pPr>
              <w:spacing w:line="340" w:lineRule="exact"/>
              <w:contextualSpacing/>
              <w:jc w:val="center"/>
              <w:rPr>
                <w:rFonts w:ascii="仿宋_GB2312" w:hAnsi="楷体" w:eastAsia="仿宋_GB2312"/>
                <w:sz w:val="24"/>
                <w:szCs w:val="24"/>
              </w:rPr>
            </w:pPr>
          </w:p>
        </w:tc>
        <w:tc>
          <w:tcPr>
            <w:tcW w:w="1447" w:type="dxa"/>
            <w:vMerge w:val="continue"/>
            <w:vAlign w:val="center"/>
          </w:tcPr>
          <w:p>
            <w:pPr>
              <w:spacing w:line="340" w:lineRule="exact"/>
              <w:contextualSpacing/>
              <w:rPr>
                <w:rFonts w:ascii="仿宋_GB2312" w:hAnsi="楷体" w:eastAsia="仿宋_GB2312"/>
                <w:sz w:val="24"/>
                <w:szCs w:val="24"/>
              </w:rPr>
            </w:pPr>
          </w:p>
        </w:tc>
        <w:tc>
          <w:tcPr>
            <w:tcW w:w="1562" w:type="dxa"/>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注册护士数</w:t>
            </w:r>
          </w:p>
        </w:tc>
        <w:tc>
          <w:tcPr>
            <w:tcW w:w="992"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人</w:t>
            </w:r>
          </w:p>
        </w:tc>
        <w:tc>
          <w:tcPr>
            <w:tcW w:w="141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4.9</w:t>
            </w:r>
          </w:p>
        </w:tc>
        <w:tc>
          <w:tcPr>
            <w:tcW w:w="1300"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5.28</w:t>
            </w:r>
          </w:p>
        </w:tc>
        <w:tc>
          <w:tcPr>
            <w:tcW w:w="141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w:t>
            </w:r>
          </w:p>
        </w:tc>
        <w:tc>
          <w:tcPr>
            <w:tcW w:w="123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预期性</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785"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8</w:t>
            </w:r>
          </w:p>
        </w:tc>
        <w:tc>
          <w:tcPr>
            <w:tcW w:w="3009" w:type="dxa"/>
            <w:gridSpan w:val="2"/>
            <w:vAlign w:val="center"/>
          </w:tcPr>
          <w:p>
            <w:pPr>
              <w:spacing w:line="340" w:lineRule="exact"/>
              <w:contextualSpacing/>
              <w:rPr>
                <w:rFonts w:ascii="仿宋_GB2312" w:hAnsi="楷体" w:eastAsia="仿宋_GB2312"/>
                <w:sz w:val="24"/>
                <w:szCs w:val="24"/>
              </w:rPr>
            </w:pPr>
            <w:r>
              <w:rPr>
                <w:rFonts w:hint="eastAsia" w:ascii="仿宋_GB2312" w:hAnsi="楷体" w:eastAsia="仿宋_GB2312"/>
                <w:sz w:val="24"/>
                <w:szCs w:val="24"/>
              </w:rPr>
              <w:t>3岁以下婴幼儿入托率</w:t>
            </w:r>
          </w:p>
        </w:tc>
        <w:tc>
          <w:tcPr>
            <w:tcW w:w="992"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w:t>
            </w:r>
          </w:p>
        </w:tc>
        <w:tc>
          <w:tcPr>
            <w:tcW w:w="141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9.9</w:t>
            </w:r>
          </w:p>
        </w:tc>
        <w:tc>
          <w:tcPr>
            <w:tcW w:w="1300"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9.91</w:t>
            </w:r>
          </w:p>
        </w:tc>
        <w:tc>
          <w:tcPr>
            <w:tcW w:w="141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w:t>
            </w:r>
          </w:p>
        </w:tc>
        <w:tc>
          <w:tcPr>
            <w:tcW w:w="123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预期性</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160" w:type="dxa"/>
            <w:gridSpan w:val="8"/>
            <w:vAlign w:val="center"/>
          </w:tcPr>
          <w:p>
            <w:pPr>
              <w:spacing w:line="340" w:lineRule="exact"/>
              <w:contextualSpacing/>
              <w:rPr>
                <w:rFonts w:ascii="仿宋_GB2312" w:hAnsi="楷体" w:eastAsia="黑体"/>
                <w:sz w:val="24"/>
                <w:szCs w:val="24"/>
              </w:rPr>
            </w:pPr>
            <w:r>
              <w:rPr>
                <w:rFonts w:hint="eastAsia" w:ascii="仿宋_GB2312" w:hAnsi="楷体" w:eastAsia="黑体"/>
                <w:sz w:val="24"/>
                <w:szCs w:val="24"/>
              </w:rPr>
              <w:t>绿色低碳</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785"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9</w:t>
            </w:r>
          </w:p>
        </w:tc>
        <w:tc>
          <w:tcPr>
            <w:tcW w:w="3009" w:type="dxa"/>
            <w:gridSpan w:val="2"/>
            <w:vAlign w:val="center"/>
          </w:tcPr>
          <w:p>
            <w:pPr>
              <w:spacing w:line="340" w:lineRule="exact"/>
              <w:contextualSpacing/>
              <w:rPr>
                <w:rFonts w:ascii="仿宋_GB2312" w:hAnsi="楷体" w:eastAsia="仿宋_GB2312"/>
                <w:sz w:val="24"/>
                <w:szCs w:val="24"/>
              </w:rPr>
            </w:pPr>
            <w:r>
              <w:rPr>
                <w:rFonts w:hint="eastAsia" w:ascii="仿宋_GB2312" w:hAnsi="楷体" w:eastAsia="仿宋_GB2312"/>
                <w:sz w:val="24"/>
                <w:szCs w:val="24"/>
              </w:rPr>
              <w:t>优良水体比例</w:t>
            </w:r>
          </w:p>
        </w:tc>
        <w:tc>
          <w:tcPr>
            <w:tcW w:w="992"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w:t>
            </w:r>
          </w:p>
        </w:tc>
        <w:tc>
          <w:tcPr>
            <w:tcW w:w="141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w:t>
            </w:r>
          </w:p>
        </w:tc>
        <w:tc>
          <w:tcPr>
            <w:tcW w:w="1300" w:type="dxa"/>
            <w:vAlign w:val="center"/>
          </w:tcPr>
          <w:p>
            <w:pPr>
              <w:spacing w:line="340" w:lineRule="exact"/>
              <w:contextualSpacing/>
              <w:jc w:val="center"/>
              <w:rPr>
                <w:rFonts w:ascii="仿宋_GB2312" w:hAnsi="楷体" w:eastAsia="仿宋_GB2312"/>
                <w:szCs w:val="21"/>
              </w:rPr>
            </w:pPr>
            <w:r>
              <w:rPr>
                <w:rFonts w:hint="eastAsia" w:ascii="仿宋_GB2312" w:hAnsi="楷体" w:eastAsia="仿宋_GB2312"/>
                <w:szCs w:val="21"/>
              </w:rPr>
              <w:t>达到呼伦贝尔市要求</w:t>
            </w:r>
          </w:p>
        </w:tc>
        <w:tc>
          <w:tcPr>
            <w:tcW w:w="1418" w:type="dxa"/>
            <w:vAlign w:val="center"/>
          </w:tcPr>
          <w:p>
            <w:pPr>
              <w:spacing w:line="340" w:lineRule="exact"/>
              <w:contextualSpacing/>
              <w:jc w:val="center"/>
              <w:rPr>
                <w:rFonts w:ascii="仿宋_GB2312" w:hAnsi="楷体" w:eastAsia="仿宋_GB2312"/>
                <w:sz w:val="24"/>
                <w:szCs w:val="24"/>
              </w:rPr>
            </w:pPr>
            <w:r>
              <w:rPr>
                <w:rFonts w:ascii="仿宋_GB2312" w:hAnsi="楷体" w:eastAsia="仿宋_GB2312"/>
                <w:sz w:val="24"/>
                <w:szCs w:val="24"/>
              </w:rPr>
              <w:t>-</w:t>
            </w:r>
          </w:p>
        </w:tc>
        <w:tc>
          <w:tcPr>
            <w:tcW w:w="123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约束性</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785"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10</w:t>
            </w:r>
          </w:p>
        </w:tc>
        <w:tc>
          <w:tcPr>
            <w:tcW w:w="3009" w:type="dxa"/>
            <w:gridSpan w:val="2"/>
            <w:vAlign w:val="center"/>
          </w:tcPr>
          <w:p>
            <w:pPr>
              <w:spacing w:line="340" w:lineRule="exact"/>
              <w:contextualSpacing/>
              <w:rPr>
                <w:rFonts w:ascii="仿宋_GB2312" w:hAnsi="楷体" w:eastAsia="仿宋_GB2312"/>
                <w:sz w:val="24"/>
                <w:szCs w:val="24"/>
              </w:rPr>
            </w:pPr>
            <w:r>
              <w:rPr>
                <w:rFonts w:hint="eastAsia" w:ascii="仿宋_GB2312" w:hAnsi="楷体" w:eastAsia="仿宋_GB2312"/>
                <w:sz w:val="24"/>
                <w:szCs w:val="24"/>
              </w:rPr>
              <w:t>细颗粒物（PM2.5）浓度</w:t>
            </w:r>
          </w:p>
        </w:tc>
        <w:tc>
          <w:tcPr>
            <w:tcW w:w="992"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微克/立方米</w:t>
            </w:r>
          </w:p>
        </w:tc>
        <w:tc>
          <w:tcPr>
            <w:tcW w:w="1418" w:type="dxa"/>
            <w:vAlign w:val="center"/>
          </w:tcPr>
          <w:p>
            <w:pPr>
              <w:spacing w:line="340" w:lineRule="exact"/>
              <w:ind w:firstLine="120" w:firstLineChars="50"/>
              <w:contextualSpacing/>
              <w:jc w:val="center"/>
              <w:rPr>
                <w:rFonts w:ascii="仿宋_GB2312" w:hAnsi="楷体" w:eastAsia="仿宋_GB2312"/>
                <w:sz w:val="24"/>
                <w:szCs w:val="24"/>
              </w:rPr>
            </w:pPr>
            <w:r>
              <w:rPr>
                <w:rFonts w:hint="eastAsia" w:ascii="仿宋_GB2312" w:hAnsi="楷体" w:eastAsia="仿宋_GB2312"/>
                <w:sz w:val="24"/>
                <w:szCs w:val="24"/>
              </w:rPr>
              <w:t>14.86</w:t>
            </w:r>
          </w:p>
        </w:tc>
        <w:tc>
          <w:tcPr>
            <w:tcW w:w="1300" w:type="dxa"/>
            <w:vAlign w:val="center"/>
          </w:tcPr>
          <w:p>
            <w:pPr>
              <w:spacing w:line="340" w:lineRule="exact"/>
              <w:contextualSpacing/>
              <w:jc w:val="center"/>
              <w:rPr>
                <w:rFonts w:ascii="仿宋_GB2312" w:hAnsi="楷体" w:eastAsia="仿宋_GB2312"/>
                <w:szCs w:val="21"/>
              </w:rPr>
            </w:pPr>
            <w:r>
              <w:rPr>
                <w:rFonts w:hint="eastAsia" w:ascii="仿宋_GB2312" w:hAnsi="楷体" w:eastAsia="仿宋_GB2312"/>
                <w:szCs w:val="21"/>
              </w:rPr>
              <w:t>达到呼伦贝尔市要求</w:t>
            </w:r>
          </w:p>
        </w:tc>
        <w:tc>
          <w:tcPr>
            <w:tcW w:w="1418" w:type="dxa"/>
            <w:vAlign w:val="center"/>
          </w:tcPr>
          <w:p>
            <w:pPr>
              <w:spacing w:line="340" w:lineRule="exact"/>
              <w:contextualSpacing/>
              <w:jc w:val="center"/>
              <w:rPr>
                <w:rFonts w:ascii="仿宋_GB2312" w:hAnsi="楷体" w:eastAsia="仿宋_GB2312"/>
                <w:sz w:val="24"/>
                <w:szCs w:val="24"/>
              </w:rPr>
            </w:pPr>
            <w:r>
              <w:rPr>
                <w:rFonts w:ascii="仿宋_GB2312" w:hAnsi="楷体" w:eastAsia="仿宋_GB2312"/>
                <w:sz w:val="24"/>
                <w:szCs w:val="24"/>
              </w:rPr>
              <w:t>-</w:t>
            </w:r>
          </w:p>
        </w:tc>
        <w:tc>
          <w:tcPr>
            <w:tcW w:w="123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约束性</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785"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11</w:t>
            </w:r>
          </w:p>
        </w:tc>
        <w:tc>
          <w:tcPr>
            <w:tcW w:w="3009" w:type="dxa"/>
            <w:gridSpan w:val="2"/>
            <w:vAlign w:val="center"/>
          </w:tcPr>
          <w:p>
            <w:pPr>
              <w:spacing w:line="340" w:lineRule="exact"/>
              <w:contextualSpacing/>
              <w:rPr>
                <w:rFonts w:ascii="仿宋_GB2312" w:hAnsi="楷体" w:eastAsia="仿宋_GB2312"/>
                <w:sz w:val="24"/>
                <w:szCs w:val="24"/>
              </w:rPr>
            </w:pPr>
            <w:r>
              <w:rPr>
                <w:rFonts w:hint="eastAsia" w:ascii="仿宋_GB2312" w:hAnsi="楷体" w:eastAsia="仿宋_GB2312"/>
                <w:sz w:val="24"/>
                <w:szCs w:val="24"/>
              </w:rPr>
              <w:t>森林覆盖率</w:t>
            </w:r>
          </w:p>
        </w:tc>
        <w:tc>
          <w:tcPr>
            <w:tcW w:w="992"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w:t>
            </w:r>
          </w:p>
        </w:tc>
        <w:tc>
          <w:tcPr>
            <w:tcW w:w="141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79</w:t>
            </w:r>
          </w:p>
        </w:tc>
        <w:tc>
          <w:tcPr>
            <w:tcW w:w="1300"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79.01</w:t>
            </w:r>
          </w:p>
        </w:tc>
        <w:tc>
          <w:tcPr>
            <w:tcW w:w="141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w:t>
            </w:r>
          </w:p>
        </w:tc>
        <w:tc>
          <w:tcPr>
            <w:tcW w:w="1238" w:type="dxa"/>
            <w:vAlign w:val="center"/>
          </w:tcPr>
          <w:p>
            <w:pPr>
              <w:spacing w:line="340" w:lineRule="exact"/>
              <w:contextualSpacing/>
              <w:jc w:val="center"/>
              <w:rPr>
                <w:rFonts w:ascii="仿宋_GB2312" w:hAnsi="楷体" w:eastAsia="仿宋_GB2312"/>
                <w:sz w:val="24"/>
                <w:szCs w:val="24"/>
              </w:rPr>
            </w:pPr>
            <w:r>
              <w:rPr>
                <w:rFonts w:hint="eastAsia" w:ascii="仿宋_GB2312" w:hAnsi="楷体" w:eastAsia="仿宋_GB2312"/>
                <w:sz w:val="24"/>
                <w:szCs w:val="24"/>
              </w:rPr>
              <w:t>约束性</w:t>
            </w:r>
          </w:p>
        </w:tc>
      </w:tr>
      <w:tr>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10160" w:type="dxa"/>
            <w:gridSpan w:val="8"/>
          </w:tcPr>
          <w:p>
            <w:pPr>
              <w:spacing w:line="340" w:lineRule="exact"/>
              <w:contextualSpacing/>
              <w:rPr>
                <w:rFonts w:ascii="仿宋_GB2312" w:hAnsi="楷体" w:eastAsia="仿宋_GB2312"/>
                <w:sz w:val="24"/>
                <w:szCs w:val="24"/>
              </w:rPr>
            </w:pPr>
            <w:r>
              <w:rPr>
                <w:rFonts w:hint="eastAsia" w:ascii="仿宋_GB2312" w:hAnsi="楷体" w:eastAsia="仿宋_GB2312"/>
                <w:sz w:val="24"/>
                <w:szCs w:val="24"/>
              </w:rPr>
              <w:t>注：年均/累计中，</w:t>
            </w:r>
            <w:r>
              <w:rPr>
                <w:rFonts w:ascii="仿宋_GB2312" w:hAnsi="楷体" w:eastAsia="仿宋_GB2312"/>
                <w:sz w:val="24"/>
                <w:szCs w:val="24"/>
              </w:rPr>
              <w:t>[ ]</w:t>
            </w:r>
            <w:r>
              <w:rPr>
                <w:rFonts w:hint="eastAsia" w:ascii="仿宋_GB2312" w:hAnsi="楷体" w:eastAsia="仿宋_GB2312"/>
                <w:sz w:val="24"/>
                <w:szCs w:val="24"/>
              </w:rPr>
              <w:t>为五年累计目标，其他为五年年均目标。</w:t>
            </w:r>
          </w:p>
        </w:tc>
      </w:tr>
    </w:tbl>
    <w:p>
      <w:pPr>
        <w:pStyle w:val="12"/>
        <w:spacing w:before="0" w:after="0"/>
        <w:outlineLvl w:val="9"/>
        <w:rPr>
          <w:rFonts w:ascii="方正小标宋简体" w:hAnsi="黑体" w:eastAsia="方正小标宋简体"/>
          <w:b w:val="0"/>
          <w:sz w:val="36"/>
          <w:szCs w:val="36"/>
        </w:rPr>
      </w:pPr>
      <w:bookmarkStart w:id="21" w:name="_Toc9551_WPSOffice_Level1"/>
      <w:bookmarkStart w:id="22" w:name="_Toc9200_WPSOffice_Level1"/>
      <w:r>
        <w:rPr>
          <w:rFonts w:hint="eastAsia" w:ascii="方正小标宋简体" w:hAnsi="黑体" w:eastAsia="方正小标宋简体"/>
          <w:b w:val="0"/>
          <w:sz w:val="36"/>
          <w:szCs w:val="36"/>
        </w:rPr>
        <w:t>第三章  推进中华民族共同体建设</w:t>
      </w:r>
      <w:bookmarkEnd w:id="21"/>
    </w:p>
    <w:p>
      <w:pPr>
        <w:pStyle w:val="12"/>
        <w:spacing w:before="0" w:after="0"/>
        <w:outlineLvl w:val="9"/>
        <w:rPr>
          <w:rFonts w:ascii="方正小标宋简体" w:hAnsi="黑体" w:eastAsia="方正小标宋简体"/>
          <w:b w:val="0"/>
          <w:sz w:val="36"/>
          <w:szCs w:val="36"/>
        </w:rPr>
      </w:pPr>
      <w:r>
        <w:rPr>
          <w:rFonts w:hint="eastAsia" w:ascii="方正小标宋简体" w:hAnsi="黑体" w:eastAsia="方正小标宋简体"/>
          <w:b w:val="0"/>
          <w:sz w:val="36"/>
          <w:szCs w:val="36"/>
        </w:rPr>
        <w:t>汇聚高质量发展强大合力</w:t>
      </w:r>
      <w:bookmarkEnd w:id="22"/>
    </w:p>
    <w:p>
      <w:pPr>
        <w:spacing w:line="576" w:lineRule="exact"/>
        <w:ind w:firstLine="627" w:firstLineChars="196"/>
        <w:rPr>
          <w:rFonts w:ascii="仿宋_GB2312" w:hAnsi="仿宋_GB2312" w:eastAsia="仿宋_GB2312" w:cs="仿宋_GB2312"/>
          <w:sz w:val="32"/>
          <w:szCs w:val="32"/>
        </w:rPr>
      </w:pPr>
    </w:p>
    <w:p>
      <w:pPr>
        <w:spacing w:line="576" w:lineRule="exact"/>
        <w:ind w:firstLine="627" w:firstLineChars="196"/>
        <w:rPr>
          <w:rFonts w:ascii="仿宋_GB2312" w:hAnsi="仿宋_GB2312" w:eastAsia="仿宋_GB2312" w:cs="仿宋_GB2312"/>
          <w:sz w:val="32"/>
          <w:szCs w:val="32"/>
        </w:rPr>
      </w:pPr>
      <w:r>
        <w:rPr>
          <w:rFonts w:hint="eastAsia" w:ascii="仿宋_GB2312" w:hAnsi="仿宋_GB2312" w:eastAsia="仿宋_GB2312" w:cs="仿宋_GB2312"/>
          <w:sz w:val="32"/>
          <w:szCs w:val="32"/>
        </w:rPr>
        <w:t>深入学习贯彻习近平总书记关于铸牢中华民族共同体意识的重要论述，牢牢把握铸牢中华民族共同体意识这一新时代党的民族工作和民族地区各项工作的主线，扎实推进中华民族共同体建设，加强各民族交往交流交融，深入持久开展民族团结进步创建，在全方位建设模范自治区中当标兵、做模范、走在前。</w:t>
      </w:r>
    </w:p>
    <w:p>
      <w:pPr>
        <w:pStyle w:val="12"/>
        <w:spacing w:before="0" w:after="0" w:line="576" w:lineRule="exact"/>
        <w:outlineLvl w:val="9"/>
        <w:rPr>
          <w:rFonts w:ascii="黑体" w:hAnsi="黑体" w:eastAsia="黑体"/>
          <w:b w:val="0"/>
          <w:bCs w:val="0"/>
        </w:rPr>
      </w:pPr>
      <w:bookmarkStart w:id="23" w:name="_Toc29307_WPSOffice_Level2"/>
      <w:bookmarkStart w:id="24" w:name="_Toc26400_WPSOffice_Level2"/>
      <w:r>
        <w:rPr>
          <w:rFonts w:hint="eastAsia" w:ascii="黑体" w:hAnsi="黑体" w:eastAsia="黑体"/>
          <w:b w:val="0"/>
          <w:bCs w:val="0"/>
        </w:rPr>
        <w:t>第一节  健全贯彻铸牢中华民族共同体意识主线机制</w:t>
      </w:r>
      <w:bookmarkEnd w:id="23"/>
      <w:bookmarkEnd w:id="24"/>
    </w:p>
    <w:p>
      <w:pPr>
        <w:spacing w:line="576" w:lineRule="exact"/>
        <w:ind w:firstLine="645"/>
        <w:rPr>
          <w:rFonts w:ascii="仿宋_GB2312" w:hAnsi="仿宋_GB2312" w:eastAsia="仿宋_GB2312" w:cs="仿宋_GB2312"/>
          <w:sz w:val="32"/>
          <w:szCs w:val="32"/>
        </w:rPr>
      </w:pPr>
      <w:r>
        <w:rPr>
          <w:rFonts w:hint="eastAsia" w:ascii="仿宋_GB2312" w:hAnsi="仿宋_GB2312" w:eastAsia="仿宋_GB2312" w:cs="仿宋_GB2312"/>
          <w:sz w:val="32"/>
          <w:szCs w:val="32"/>
        </w:rPr>
        <w:t>健全贯彻铸牢中华民族共同体意识主线的统筹协调机制、责任分工等机制。把铸牢中华民族共同体意识主线要求具体深入地贯彻落实到全市经济建设、政治建设、文化建设、社会建设、生态文明建设和党的建设全过程各方面。完善重大经济社会发展政策贯彻主线要求、赋予所有改革发展以“三个意义”的审核评估机制。加强法规政策前置审核、备案审查工作，以铸牢中华民族共同体意识为基本前提，强化中华民族共同性，增强中华民族共同体意识。强化各级党委（党组）和领导干部的主线意识，严格落实铸牢中华民族共同体意识协调机制。</w:t>
      </w:r>
    </w:p>
    <w:p>
      <w:pPr>
        <w:pStyle w:val="12"/>
        <w:spacing w:before="0" w:after="0" w:line="576" w:lineRule="exact"/>
        <w:outlineLvl w:val="9"/>
        <w:rPr>
          <w:rFonts w:ascii="黑体" w:hAnsi="黑体" w:eastAsia="黑体"/>
          <w:b w:val="0"/>
          <w:bCs w:val="0"/>
        </w:rPr>
      </w:pPr>
      <w:bookmarkStart w:id="25" w:name="_Toc11746_WPSOffice_Level2"/>
      <w:bookmarkStart w:id="26" w:name="_Toc28754_WPSOffice_Level2"/>
      <w:r>
        <w:rPr>
          <w:rFonts w:hint="eastAsia" w:ascii="黑体" w:hAnsi="黑体" w:eastAsia="黑体"/>
          <w:b w:val="0"/>
          <w:bCs w:val="0"/>
        </w:rPr>
        <w:t>第二节  加强铸牢中华民族共同体意识宣传教育</w:t>
      </w:r>
      <w:bookmarkEnd w:id="25"/>
      <w:bookmarkEnd w:id="26"/>
    </w:p>
    <w:p>
      <w:pPr>
        <w:spacing w:line="576" w:lineRule="exact"/>
        <w:ind w:firstLine="645"/>
        <w:rPr>
          <w:rFonts w:ascii="仿宋_GB2312" w:hAnsi="仿宋_GB2312" w:eastAsia="仿宋_GB2312" w:cs="仿宋_GB2312"/>
          <w:sz w:val="32"/>
          <w:szCs w:val="32"/>
        </w:rPr>
      </w:pPr>
      <w:r>
        <w:rPr>
          <w:rFonts w:hint="eastAsia" w:ascii="仿宋_GB2312" w:hAnsi="仿宋_GB2312" w:eastAsia="仿宋_GB2312" w:cs="仿宋_GB2312"/>
          <w:sz w:val="32"/>
          <w:szCs w:val="32"/>
        </w:rPr>
        <w:t>深入开展铸牢中华民族共同体意识宣传教育，加强对“五个共同”“四个与共”“五个认同”“五观”等理念和要求的宣传阐释。持续深化“感党恩、听党话、跟党走”群众教育，培育“石榴籽”宣讲品牌体系，讲好中华民族共同体故事。坚持从青少年教育抓起，推动铸牢中华民族共同体意识教育融入办学治校、教书育人全过程。把主线要求贯彻落实到历史文化宣传教育、公共文化设施建设等方面。推动各民族文化在增强对中华文化认同的基础上创造性转化、创新性发展。以铸牢中华民族共同体意识为主线，推进党的民族理论政策和法律法规宣传。</w:t>
      </w:r>
    </w:p>
    <w:p>
      <w:pPr>
        <w:pStyle w:val="12"/>
        <w:spacing w:before="0" w:after="0" w:line="576" w:lineRule="exact"/>
        <w:outlineLvl w:val="9"/>
        <w:rPr>
          <w:rFonts w:ascii="黑体" w:hAnsi="黑体" w:eastAsia="黑体"/>
          <w:b w:val="0"/>
          <w:bCs w:val="0"/>
        </w:rPr>
      </w:pPr>
      <w:bookmarkStart w:id="27" w:name="_Toc22332_WPSOffice_Level2"/>
      <w:bookmarkStart w:id="28" w:name="_Toc15450_WPSOffice_Level2"/>
      <w:r>
        <w:rPr>
          <w:rFonts w:hint="eastAsia" w:ascii="黑体" w:hAnsi="黑体" w:eastAsia="黑体"/>
          <w:b w:val="0"/>
          <w:bCs w:val="0"/>
        </w:rPr>
        <w:t>第三节  深入持久开展民族团结进步创建</w:t>
      </w:r>
      <w:bookmarkEnd w:id="27"/>
      <w:bookmarkEnd w:id="28"/>
    </w:p>
    <w:p>
      <w:pPr>
        <w:spacing w:line="576" w:lineRule="exact"/>
        <w:ind w:firstLine="645"/>
        <w:rPr>
          <w:rFonts w:ascii="仿宋_GB2312" w:hAnsi="仿宋_GB2312" w:eastAsia="仿宋_GB2312" w:cs="仿宋_GB2312"/>
          <w:sz w:val="32"/>
          <w:szCs w:val="32"/>
        </w:rPr>
      </w:pPr>
      <w:r>
        <w:rPr>
          <w:rFonts w:hint="eastAsia" w:ascii="仿宋_GB2312" w:hAnsi="仿宋_GB2312" w:eastAsia="仿宋_GB2312" w:cs="仿宋_GB2312"/>
          <w:sz w:val="32"/>
          <w:szCs w:val="32"/>
        </w:rPr>
        <w:t>巩固拓展民族团结进步示范市创建成果，加快构建互嵌式社会结构和社区环境，推动敖鲁古雅鄂温克族乡争创全国民族团结进步示范乡镇。开展“邻里节”“一家亲”“手拉手”等活动，促进各民族在生产生活等方面广泛交往、全面交流、深度交融。开展“团结+文旅”以旅促融活动，深化“歌游内蒙古”区域文旅品牌，挖掘根河市地域文化的独特魅力，持续擦亮“融合之路”文旅品牌。全面推行使用国家统编教材，全面推广普及国家通用语言文字。科学保护各民族语言文字，尊重和保障少数民族语言文字学习和使用，加强对少数民族非遗项目的保护和传承。</w:t>
      </w:r>
    </w:p>
    <w:p>
      <w:pPr>
        <w:pStyle w:val="12"/>
        <w:spacing w:before="0" w:after="0" w:line="576" w:lineRule="exact"/>
        <w:outlineLvl w:val="9"/>
        <w:rPr>
          <w:rFonts w:ascii="黑体" w:hAnsi="黑体" w:eastAsia="黑体"/>
          <w:b w:val="0"/>
          <w:bCs w:val="0"/>
        </w:rPr>
      </w:pPr>
      <w:bookmarkStart w:id="29" w:name="_Toc4067_WPSOffice_Level2"/>
      <w:bookmarkStart w:id="30" w:name="_Toc10657_WPSOffice_Level2"/>
      <w:r>
        <w:rPr>
          <w:rFonts w:hint="eastAsia" w:ascii="黑体" w:hAnsi="黑体" w:eastAsia="黑体"/>
          <w:b w:val="0"/>
          <w:bCs w:val="0"/>
        </w:rPr>
        <w:t>第四节  提升民族事务治理能力现代化水平</w:t>
      </w:r>
      <w:bookmarkEnd w:id="29"/>
      <w:bookmarkEnd w:id="30"/>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坚持依法治理民族事务，推动将民族事务纳入社会治理格局，增强各族群众国家意识、公民意识、法治意识，依法保障民族团结和各民族公民合法权益。依法妥善处理影响民族团结的矛盾纠纷，推动防范化解民族领域风险隐患。</w:t>
      </w:r>
    </w:p>
    <w:p>
      <w:pPr>
        <w:pStyle w:val="12"/>
        <w:spacing w:before="0" w:after="0" w:line="576" w:lineRule="exact"/>
        <w:outlineLvl w:val="9"/>
        <w:rPr>
          <w:rFonts w:ascii="黑体" w:hAnsi="黑体" w:eastAsia="黑体"/>
          <w:b w:val="0"/>
          <w:bCs w:val="0"/>
        </w:rPr>
      </w:pPr>
      <w:bookmarkStart w:id="31" w:name="_Toc25322_WPSOffice_Level2"/>
      <w:bookmarkStart w:id="32" w:name="_Toc25532_WPSOffice_Level2"/>
      <w:r>
        <w:rPr>
          <w:rFonts w:hint="eastAsia" w:ascii="黑体" w:hAnsi="黑体" w:eastAsia="黑体"/>
          <w:b w:val="0"/>
          <w:bCs w:val="0"/>
        </w:rPr>
        <w:t>第五节  发展全过程人民民主</w:t>
      </w:r>
      <w:bookmarkEnd w:id="31"/>
      <w:bookmarkEnd w:id="32"/>
    </w:p>
    <w:p>
      <w:pPr>
        <w:spacing w:line="560" w:lineRule="exact"/>
        <w:ind w:firstLine="640" w:firstLineChars="200"/>
        <w:rPr>
          <w:rFonts w:ascii="仿宋_GB2312" w:eastAsia="仿宋_GB2312"/>
          <w:sz w:val="32"/>
          <w:szCs w:val="32"/>
        </w:rPr>
      </w:pPr>
      <w:r>
        <w:rPr>
          <w:rFonts w:hint="eastAsia" w:ascii="仿宋_GB2312" w:eastAsia="仿宋_GB2312"/>
          <w:sz w:val="32"/>
          <w:szCs w:val="32"/>
        </w:rPr>
        <w:t>坚持党的领导、人民当家作主、依法治国有机统一，不断发展全过程人民民主，用法治保障人民当家作主，着力建设更高水平的法治根河，巩固发展共同团结奋斗的良好局面。</w:t>
      </w:r>
    </w:p>
    <w:p>
      <w:pPr>
        <w:spacing w:line="560" w:lineRule="exact"/>
        <w:ind w:firstLine="642" w:firstLineChars="200"/>
        <w:rPr>
          <w:rFonts w:ascii="仿宋_GB2312" w:eastAsia="仿宋_GB2312"/>
          <w:sz w:val="32"/>
          <w:szCs w:val="32"/>
        </w:rPr>
      </w:pPr>
      <w:r>
        <w:rPr>
          <w:rFonts w:hint="eastAsia" w:ascii="楷体_GB2312" w:hAnsi="楷体" w:eastAsia="楷体_GB2312"/>
          <w:b/>
          <w:sz w:val="32"/>
          <w:szCs w:val="32"/>
        </w:rPr>
        <w:t>坚持好运行好人民代表大会制度。</w:t>
      </w:r>
      <w:r>
        <w:rPr>
          <w:rFonts w:hint="eastAsia" w:ascii="仿宋_GB2312" w:eastAsia="仿宋_GB2312"/>
          <w:sz w:val="32"/>
          <w:szCs w:val="32"/>
        </w:rPr>
        <w:t>健全吸纳民意、汇集民智工作机制，自觉接受人民监督，保证人民的知情权、参与权、表达权、监督权。坚持围绕中心、贴近民生、突出重点，加强人大对“一府一委两院”的正确监督、有效监督、依法监督，保证宪法法律全面有效实施、各国家机关依法行使权力、人民群众合法权益得到维护和实现。加强预算审查监督、国有资产管理监督、政府债务管理监督，增强监督工作的针对性、实效性。发挥人大代表作用，以“两个联系”为抓手深化拓展代表作用，支持和保障代表依法履职。</w:t>
      </w:r>
    </w:p>
    <w:p>
      <w:pPr>
        <w:spacing w:line="560" w:lineRule="exact"/>
        <w:ind w:firstLine="642" w:firstLineChars="200"/>
        <w:rPr>
          <w:rFonts w:ascii="仿宋_GB2312" w:eastAsia="仿宋_GB2312"/>
          <w:sz w:val="32"/>
          <w:szCs w:val="32"/>
        </w:rPr>
      </w:pPr>
      <w:r>
        <w:rPr>
          <w:rFonts w:hint="eastAsia" w:ascii="楷体_GB2312" w:hAnsi="楷体" w:eastAsia="楷体_GB2312"/>
          <w:b/>
          <w:sz w:val="32"/>
          <w:szCs w:val="32"/>
        </w:rPr>
        <w:t>推进协商民主广泛多层制度化发展。</w:t>
      </w:r>
      <w:r>
        <w:rPr>
          <w:rFonts w:hint="eastAsia" w:ascii="仿宋_GB2312" w:eastAsia="仿宋_GB2312"/>
          <w:sz w:val="32"/>
          <w:szCs w:val="32"/>
        </w:rPr>
        <w:t>健全深度协商互动、意见充分表达、广泛凝聚共识的机制，运用政协全体会议、专题议政性常务委员会会议、专题协商会等多种形式，深入协商议政。加强人民政协反映社情民意、联系群众、服务人民机制建设，把满足人民对美好生活的需要、促进民生改善作为协商议政重点，完善政协委员联系界别群众制度机制，做好凝聚共识、增进团结、汇聚力量的工作。准确把握人民政协民主监督性质定位，完善人民政协民主监督机制，充分发挥协商式监督作用。</w:t>
      </w:r>
    </w:p>
    <w:p>
      <w:pPr>
        <w:spacing w:line="560" w:lineRule="exact"/>
        <w:ind w:firstLine="642" w:firstLineChars="200"/>
        <w:rPr>
          <w:rFonts w:ascii="仿宋_GB2312" w:eastAsia="仿宋_GB2312"/>
          <w:sz w:val="32"/>
          <w:szCs w:val="32"/>
        </w:rPr>
      </w:pPr>
      <w:r>
        <w:rPr>
          <w:rFonts w:hint="eastAsia" w:ascii="楷体_GB2312" w:hAnsi="楷体" w:eastAsia="楷体_GB2312"/>
          <w:b/>
          <w:sz w:val="32"/>
          <w:szCs w:val="32"/>
        </w:rPr>
        <w:t>健全基层民主制度。</w:t>
      </w:r>
      <w:r>
        <w:rPr>
          <w:rFonts w:hint="eastAsia" w:ascii="仿宋_GB2312" w:eastAsia="仿宋_GB2312"/>
          <w:sz w:val="32"/>
          <w:szCs w:val="32"/>
        </w:rPr>
        <w:t>健全基层党组织领导的基层群众自治机制，完善基层民主协商制度，保障基层群众行使民主权利。健全以职工代表大会为基本形式的企事业单位民主管理制度，保障职工的知情权、参与权、表达权、监督权。</w:t>
      </w:r>
    </w:p>
    <w:p>
      <w:pPr>
        <w:spacing w:line="560" w:lineRule="exact"/>
        <w:ind w:firstLine="642" w:firstLineChars="200"/>
        <w:rPr>
          <w:rFonts w:ascii="仿宋_GB2312" w:eastAsia="仿宋_GB2312"/>
          <w:sz w:val="32"/>
          <w:szCs w:val="32"/>
        </w:rPr>
      </w:pPr>
      <w:r>
        <w:rPr>
          <w:rFonts w:hint="eastAsia" w:ascii="楷体_GB2312" w:hAnsi="楷体" w:eastAsia="楷体_GB2312"/>
          <w:b/>
          <w:sz w:val="32"/>
          <w:szCs w:val="32"/>
        </w:rPr>
        <w:t>完善大统战工作格局。</w:t>
      </w:r>
      <w:r>
        <w:rPr>
          <w:rFonts w:hint="eastAsia" w:ascii="仿宋_GB2312" w:eastAsia="仿宋_GB2312"/>
          <w:sz w:val="32"/>
          <w:szCs w:val="32"/>
        </w:rPr>
        <w:t>巩固和发展最广泛的爱国统一战线，推动统战工作更好融入基层党建和社会治理体系。建立健全统一战线思想政治工作体系和长效机制，做好无党派人士工作。完善党外知识分子和新的社会阶层人士政治引领机制。加强党外代表人士队伍建设，更好发挥党外人士作用。全面贯彻党的宗教工作基本方针，坚持宗教中国化方向，加强宗教事务治理法治化。健全促进非公有制经济健康发展、非公有制经济人士健康成长工作机制，全面构建亲清政商关系，建立健全政企沟通协商制度，引导民营经济人士积极履行社会责任，促进社会组织高质量发展。推动行业协会商会改革发展，充分发挥工会、共青团、妇联、科协、文联、工商联、红十字会、残联等群团组织作用。</w:t>
      </w:r>
    </w:p>
    <w:p>
      <w:pPr>
        <w:pStyle w:val="12"/>
        <w:spacing w:before="0" w:after="0" w:line="576" w:lineRule="exact"/>
        <w:outlineLvl w:val="9"/>
        <w:rPr>
          <w:rFonts w:ascii="黑体" w:hAnsi="黑体" w:eastAsia="黑体"/>
          <w:b w:val="0"/>
          <w:bCs w:val="0"/>
        </w:rPr>
      </w:pPr>
      <w:bookmarkStart w:id="33" w:name="_Toc3451_WPSOffice_Level2"/>
      <w:bookmarkStart w:id="34" w:name="_Toc24994_WPSOffice_Level2"/>
      <w:r>
        <w:rPr>
          <w:rFonts w:hint="eastAsia" w:ascii="黑体" w:hAnsi="黑体" w:eastAsia="黑体"/>
          <w:b w:val="0"/>
          <w:bCs w:val="0"/>
        </w:rPr>
        <w:t>第六节  推进法治根河建设</w:t>
      </w:r>
      <w:bookmarkEnd w:id="33"/>
      <w:bookmarkEnd w:id="34"/>
    </w:p>
    <w:p>
      <w:pPr>
        <w:spacing w:line="560" w:lineRule="exact"/>
        <w:ind w:firstLine="640" w:firstLineChars="200"/>
        <w:rPr>
          <w:rFonts w:ascii="仿宋_GB2312" w:eastAsia="仿宋_GB2312"/>
          <w:sz w:val="32"/>
          <w:szCs w:val="32"/>
        </w:rPr>
      </w:pPr>
      <w:r>
        <w:rPr>
          <w:rFonts w:hint="eastAsia" w:ascii="仿宋_GB2312" w:eastAsia="仿宋_GB2312"/>
          <w:sz w:val="32"/>
          <w:szCs w:val="32"/>
        </w:rPr>
        <w:t>把全面贯彻实施宪法作为首要任务，推进科学立法、严格执法、公正司法、全民守法，在法治轨道上推进治理体系和治理能力现代化。</w:t>
      </w:r>
    </w:p>
    <w:p>
      <w:pPr>
        <w:spacing w:line="560" w:lineRule="exact"/>
        <w:ind w:firstLine="642" w:firstLineChars="200"/>
        <w:rPr>
          <w:rFonts w:ascii="仿宋_GB2312" w:eastAsia="仿宋_GB2312"/>
          <w:sz w:val="32"/>
          <w:szCs w:val="32"/>
        </w:rPr>
      </w:pPr>
      <w:r>
        <w:rPr>
          <w:rFonts w:hint="eastAsia" w:ascii="楷体_GB2312" w:hAnsi="楷体" w:eastAsia="楷体_GB2312"/>
          <w:b/>
          <w:sz w:val="32"/>
          <w:szCs w:val="32"/>
        </w:rPr>
        <w:t>健全依法行政制度体系。</w:t>
      </w:r>
      <w:r>
        <w:rPr>
          <w:rFonts w:hint="eastAsia" w:ascii="仿宋_GB2312" w:eastAsia="仿宋_GB2312"/>
          <w:sz w:val="32"/>
          <w:szCs w:val="32"/>
        </w:rPr>
        <w:t>全面推进法治政府建设，依法全面履行政府职能，推行清单制度并实行动态管理，厘清政府和市场、政府和社会的关系，更加注重用法律和制度遏制不当干预经济活动的行为。严格落实重大行政决策程序制度，全面推行行政规范性文件合法性审核机制，健全重大决策社会稳定风险评估机制。加强统计法治监督。深化行政执法体制改革，整合行政执法队伍，改进和创新执法方式。加强城市管理执法队伍建设，加大食品药品、公共卫生、生态环境、安全生产、劳动保障等重点领域执法力度，推进执法重心下沉落地。强化行政执法监督机制和能力建设，严格落实行政执法责任制和责任追究制度。</w:t>
      </w:r>
    </w:p>
    <w:p>
      <w:pPr>
        <w:spacing w:line="560" w:lineRule="exact"/>
        <w:ind w:firstLine="642" w:firstLineChars="200"/>
        <w:rPr>
          <w:rFonts w:ascii="仿宋_GB2312" w:eastAsia="仿宋_GB2312"/>
          <w:sz w:val="32"/>
          <w:szCs w:val="32"/>
        </w:rPr>
      </w:pPr>
      <w:r>
        <w:rPr>
          <w:rFonts w:hint="eastAsia" w:ascii="楷体_GB2312" w:hAnsi="楷体" w:eastAsia="楷体_GB2312"/>
          <w:b/>
          <w:sz w:val="32"/>
          <w:szCs w:val="32"/>
        </w:rPr>
        <w:t>健全司法权力运行机制。</w:t>
      </w:r>
      <w:r>
        <w:rPr>
          <w:rFonts w:hint="eastAsia" w:ascii="仿宋_GB2312" w:eastAsia="仿宋_GB2312"/>
          <w:sz w:val="32"/>
          <w:szCs w:val="32"/>
        </w:rPr>
        <w:t>全面贯彻实施宪法，加强宪法法律实施和监督，营造良好法治环境。优化司法职权配置，健全公安机关、检察机关、审判机关、司法行政机关各司其职，侦查权、检察权、审判权、执行权相互配合、相互制约的体制机制。推进审判公开、检务公开，增强法律文书说理性，强化对司法活动的制约监督，促进司法公正。</w:t>
      </w:r>
    </w:p>
    <w:p>
      <w:pPr>
        <w:spacing w:line="540" w:lineRule="exact"/>
        <w:ind w:firstLine="642" w:firstLineChars="200"/>
        <w:rPr>
          <w:rFonts w:ascii="仿宋_GB2312" w:eastAsia="仿宋_GB2312"/>
          <w:sz w:val="32"/>
          <w:szCs w:val="32"/>
        </w:rPr>
      </w:pPr>
      <w:r>
        <w:rPr>
          <w:rFonts w:hint="eastAsia" w:ascii="楷体_GB2312" w:hAnsi="楷体" w:eastAsia="楷体_GB2312"/>
          <w:b/>
          <w:sz w:val="32"/>
          <w:szCs w:val="32"/>
        </w:rPr>
        <w:t>深入推进全民守法。</w:t>
      </w:r>
      <w:r>
        <w:rPr>
          <w:rFonts w:hint="eastAsia" w:ascii="仿宋_GB2312" w:eastAsia="仿宋_GB2312"/>
          <w:sz w:val="32"/>
          <w:szCs w:val="32"/>
        </w:rPr>
        <w:t>弘扬社会主义法治精神，加大全民普法力度，持久开展宪法宣传教育，建设法治社会。广泛开展“九五”普法，依托“法治乌兰牧骑”等方式，加强基层普法阵地建设。加快推进公共法律服务均衡发展，提升公共法律服务水平，增强法律援助窗口服务能力，扩大法律援助覆盖面，提供优质高效的法律援助服务。落实公证体制机制改革有关政策，坚持公证非营利性、公益性基本属性，对密切关系民生的公证服务事项实行清单化管理。</w:t>
      </w:r>
    </w:p>
    <w:p>
      <w:pPr>
        <w:pStyle w:val="12"/>
        <w:spacing w:before="0" w:after="0"/>
        <w:outlineLvl w:val="9"/>
        <w:rPr>
          <w:rFonts w:ascii="方正小标宋简体" w:hAnsi="黑体" w:eastAsia="方正小标宋简体"/>
          <w:b w:val="0"/>
          <w:sz w:val="36"/>
          <w:szCs w:val="36"/>
        </w:rPr>
      </w:pPr>
      <w:bookmarkStart w:id="35" w:name="_Toc22875_WPSOffice_Level1"/>
      <w:bookmarkStart w:id="36" w:name="_Toc12501_WPSOffice_Level1"/>
    </w:p>
    <w:p/>
    <w:p/>
    <w:p/>
    <w:p/>
    <w:p/>
    <w:p/>
    <w:p/>
    <w:p/>
    <w:p/>
    <w:p/>
    <w:p>
      <w:pPr>
        <w:pStyle w:val="12"/>
        <w:spacing w:before="0" w:after="0"/>
        <w:outlineLvl w:val="9"/>
        <w:rPr>
          <w:rFonts w:ascii="方正小标宋简体" w:hAnsi="黑体" w:eastAsia="方正小标宋简体"/>
          <w:b w:val="0"/>
          <w:sz w:val="36"/>
          <w:szCs w:val="36"/>
        </w:rPr>
      </w:pPr>
      <w:r>
        <w:rPr>
          <w:rFonts w:hint="eastAsia" w:ascii="方正小标宋简体" w:hAnsi="黑体" w:eastAsia="方正小标宋简体"/>
          <w:b w:val="0"/>
          <w:sz w:val="36"/>
          <w:szCs w:val="36"/>
        </w:rPr>
        <w:t xml:space="preserve">第四章  坚持生态优先、绿色发展 </w:t>
      </w:r>
    </w:p>
    <w:p>
      <w:pPr>
        <w:pStyle w:val="12"/>
        <w:spacing w:before="0" w:after="0"/>
        <w:outlineLvl w:val="9"/>
        <w:rPr>
          <w:rFonts w:ascii="方正小标宋简体" w:hAnsi="黑体" w:eastAsia="方正小标宋简体"/>
          <w:b w:val="0"/>
          <w:sz w:val="36"/>
          <w:szCs w:val="36"/>
        </w:rPr>
      </w:pPr>
      <w:r>
        <w:rPr>
          <w:rFonts w:hint="eastAsia" w:ascii="方正小标宋简体" w:hAnsi="黑体" w:eastAsia="方正小标宋简体"/>
          <w:b w:val="0"/>
          <w:sz w:val="36"/>
          <w:szCs w:val="36"/>
        </w:rPr>
        <w:t>全面提升建设北方重要生态安全屏障</w:t>
      </w:r>
      <w:bookmarkEnd w:id="35"/>
      <w:r>
        <w:rPr>
          <w:rFonts w:hint="eastAsia" w:ascii="方正小标宋简体" w:hAnsi="黑体" w:eastAsia="方正小标宋简体"/>
          <w:b w:val="0"/>
          <w:sz w:val="36"/>
          <w:szCs w:val="36"/>
        </w:rPr>
        <w:t>水平</w:t>
      </w:r>
      <w:bookmarkEnd w:id="36"/>
    </w:p>
    <w:p>
      <w:pPr>
        <w:spacing w:line="576" w:lineRule="exact"/>
        <w:ind w:firstLine="640" w:firstLineChars="200"/>
        <w:rPr>
          <w:rFonts w:ascii="仿宋_GB2312" w:hAnsi="仿宋_GB2312" w:eastAsia="仿宋_GB2312" w:cs="仿宋_GB2312"/>
          <w:sz w:val="32"/>
          <w:szCs w:val="32"/>
        </w:rPr>
      </w:pPr>
    </w:p>
    <w:p>
      <w:pPr>
        <w:spacing w:line="576"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深入践行习近平生态文明思想，牢固树立和践行绿水青山就是金山银山理念，始终把生态环境保护挺在前面。完整准确全面贯彻新发展理念，始终保持加强生态文明建设的战略定力，统筹推进高水平保护与高质量发展，协同推进降碳、减污、扩绿、增长，建设人与自然和谐共生的美丽根河。</w:t>
      </w:r>
    </w:p>
    <w:p>
      <w:pPr>
        <w:pStyle w:val="12"/>
        <w:spacing w:before="0" w:after="0" w:line="576" w:lineRule="exact"/>
        <w:outlineLvl w:val="9"/>
        <w:rPr>
          <w:rFonts w:ascii="黑体" w:hAnsi="黑体" w:eastAsia="黑体"/>
          <w:b w:val="0"/>
          <w:bCs w:val="0"/>
        </w:rPr>
      </w:pPr>
      <w:bookmarkStart w:id="37" w:name="_Toc7168_WPSOffice_Level2"/>
      <w:bookmarkStart w:id="38" w:name="_Toc1082_WPSOffice_Level2"/>
      <w:r>
        <w:rPr>
          <w:rFonts w:hint="eastAsia" w:ascii="黑体" w:hAnsi="黑体" w:eastAsia="黑体"/>
          <w:b w:val="0"/>
          <w:bCs w:val="0"/>
        </w:rPr>
        <w:t xml:space="preserve">第一节 </w:t>
      </w:r>
      <w:bookmarkEnd w:id="37"/>
      <w:r>
        <w:rPr>
          <w:rFonts w:hint="eastAsia" w:ascii="黑体" w:hAnsi="黑体" w:eastAsia="黑体"/>
          <w:b w:val="0"/>
          <w:bCs w:val="0"/>
        </w:rPr>
        <w:t xml:space="preserve"> 持续巩固提升生态系统质量</w:t>
      </w:r>
      <w:bookmarkEnd w:id="38"/>
    </w:p>
    <w:p>
      <w:pPr>
        <w:spacing w:line="576"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坚持保护优先、自然恢复为主，统筹山水林田湖草沙一体化保护和系统治理，加强自然保护地建设和生物多样性保护，促进自然生态系统质量整体改善，提升生态系统稳定性和可持续性。</w:t>
      </w:r>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推进森林资源保护与修复。</w:t>
      </w:r>
      <w:r>
        <w:rPr>
          <w:rFonts w:hint="eastAsia" w:ascii="仿宋_GB2312" w:hAnsi="仿宋_GB2312" w:eastAsia="仿宋_GB2312" w:cs="仿宋_GB2312"/>
          <w:sz w:val="32"/>
          <w:szCs w:val="32"/>
        </w:rPr>
        <w:t>严格执行森林经营规划，规范森林采伐限额管理与迹地更新。开展森林质量精准提升行动，加强天然林保护修复、公益林管护，进一步提升森林资源总量质量，开展重点区域森林资源清查，明确森林保护修复措施，提升森林生态功能。完善检测防治体系，加强林业有害生物防治，推广绿色防控技术，严格控制成灾率。严格实行占用林地总量控制，严控各类建设项目占用林地。深化“林长＋”协作机制，严厉打击毁林行为，推进全民义务植树。到2030年，森林覆盖率稳定在79.01%以上。</w:t>
      </w:r>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加强河湖湿地治理。</w:t>
      </w:r>
      <w:r>
        <w:rPr>
          <w:rFonts w:hint="eastAsia" w:ascii="仿宋_GB2312" w:hAnsi="仿宋_GB2312" w:eastAsia="仿宋_GB2312" w:cs="仿宋_GB2312"/>
          <w:sz w:val="32"/>
          <w:szCs w:val="32"/>
        </w:rPr>
        <w:t>健全河长制，严格管控河湖水域岸线空间，推进河湖“清四乱”常态化规范化，强化涉河建设项目和活动管理，规范河道采砂活动，开展流域生态治理，维护河湖生态环境。落实湿地面积总量管控，严格湿地用途和利用监管，强化根河源国家湿地公园科研监测、保护与修复，完善基础设施建设，提升重要湿地生态系统功能。推进生态清洁小流域建设。到2030年，水土保持率达到99.52%。</w:t>
      </w:r>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持续推动矿山生态修复。</w:t>
      </w:r>
      <w:r>
        <w:rPr>
          <w:rFonts w:hint="eastAsia" w:ascii="仿宋_GB2312" w:hAnsi="仿宋_GB2312" w:eastAsia="仿宋_GB2312" w:cs="仿宋_GB2312"/>
          <w:sz w:val="32"/>
          <w:szCs w:val="32"/>
        </w:rPr>
        <w:t>加大矿山地质环境恢复治理与土地复垦力度，推进历史遗留废弃矿山生态修复治理项目。巩固和提升已建成的绿色矿山，推动市区东南饮用天然矿泉水产地建成自治区级绿色矿山。“十五五”期间，力争建成自治区级绿色矿山1家。</w:t>
      </w:r>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规范自然保护地建设管理。</w:t>
      </w:r>
      <w:r>
        <w:rPr>
          <w:rFonts w:hint="eastAsia" w:ascii="仿宋_GB2312" w:hAnsi="仿宋_GB2312" w:eastAsia="仿宋_GB2312" w:cs="仿宋_GB2312"/>
          <w:sz w:val="32"/>
          <w:szCs w:val="32"/>
        </w:rPr>
        <w:t>系统推进自然保护地内林草湿生态系统保护修复及生物多样性保护工作，制定自然保护地内建设项目负面清单，加强智慧监测体系建设，严格管控非生态活动。依托各类自然保护地，推动建设自然教育与生态体验服务设施。谋划推进汗马国家级自然保护区保护及监测设施建设项目和2025年湿地保护与恢复项目。</w:t>
      </w:r>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加强生物多样性保护。</w:t>
      </w:r>
      <w:r>
        <w:rPr>
          <w:rFonts w:hint="eastAsia" w:ascii="仿宋_GB2312" w:hAnsi="仿宋_GB2312" w:eastAsia="仿宋_GB2312" w:cs="仿宋_GB2312"/>
          <w:sz w:val="32"/>
          <w:szCs w:val="32"/>
        </w:rPr>
        <w:t>健全生物多样性保护网络，重点保护濒危野生动植物、珍稀物种及其栖息地。强化生物安全管理，提升外来入侵物种防控管理水平。严厉打击破坏野生动植物违法犯罪行为。</w:t>
      </w:r>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抓好新形势下森林草原防灾减灾工作。</w:t>
      </w:r>
      <w:r>
        <w:rPr>
          <w:rFonts w:hint="eastAsia" w:ascii="仿宋_GB2312" w:hAnsi="仿宋_GB2312" w:eastAsia="仿宋_GB2312" w:cs="仿宋_GB2312"/>
          <w:sz w:val="32"/>
          <w:szCs w:val="32"/>
        </w:rPr>
        <w:t>严格落实党委和政府领导责任、部门监管责任，实施林区防火路建设项目，推进火灾预警监测、应急扑救等基础设施和能力建设。强化有害生物联防联治与源头管控，常态化排查火灾隐患，加强重点时段、区域巡护，完善部门协同机制，完善应急预案体系，加强扑火队伍实战演练和技能培训，深化宣传教育，增强全民防火意识，营造群防群治的社会氛围。</w:t>
      </w:r>
    </w:p>
    <w:tbl>
      <w:tblPr>
        <w:tblStyle w:val="24"/>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spacing w:line="560" w:lineRule="exact"/>
              <w:jc w:val="center"/>
              <w:rPr>
                <w:rFonts w:ascii="黑体" w:hAnsi="黑体" w:eastAsia="黑体" w:cs="仿宋_GB2312"/>
                <w:sz w:val="28"/>
                <w:szCs w:val="28"/>
              </w:rPr>
            </w:pPr>
            <w:r>
              <w:rPr>
                <w:rFonts w:hint="eastAsia" w:ascii="黑体" w:hAnsi="黑体" w:eastAsia="黑体" w:cs="宋体"/>
                <w:sz w:val="28"/>
                <w:szCs w:val="28"/>
              </w:rPr>
              <w:t>专栏2“十五五”生态系统保护修复工程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spacing w:line="480" w:lineRule="exact"/>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1.生态环境一体化保护和系统治理</w:t>
            </w:r>
          </w:p>
          <w:p>
            <w:pPr>
              <w:spacing w:line="480" w:lineRule="exact"/>
              <w:rPr>
                <w:rFonts w:cs="仿宋_GB2312" w:asciiTheme="minorEastAsia" w:hAnsiTheme="minorEastAsia" w:eastAsiaTheme="minorEastAsia"/>
                <w:sz w:val="24"/>
                <w:szCs w:val="24"/>
              </w:rPr>
            </w:pPr>
            <w:r>
              <w:rPr>
                <w:rFonts w:hint="eastAsia" w:cs="仿宋_GB2312" w:asciiTheme="minorEastAsia" w:hAnsiTheme="minorEastAsia" w:eastAsiaTheme="minorEastAsia"/>
                <w:b/>
                <w:sz w:val="24"/>
                <w:szCs w:val="24"/>
              </w:rPr>
              <w:t>矿山生态修复治理。</w:t>
            </w:r>
            <w:r>
              <w:rPr>
                <w:rFonts w:hint="eastAsia" w:cs="仿宋_GB2312" w:asciiTheme="minorEastAsia" w:hAnsiTheme="minorEastAsia" w:eastAsiaTheme="minorEastAsia"/>
                <w:sz w:val="24"/>
                <w:szCs w:val="24"/>
              </w:rPr>
              <w:t>谋划推进根河市历史遗留废弃矿山生态修复治理项目。</w:t>
            </w:r>
          </w:p>
          <w:p>
            <w:pPr>
              <w:spacing w:line="480" w:lineRule="exact"/>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2.生态系统保护修复支撑体系建设</w:t>
            </w:r>
          </w:p>
          <w:p>
            <w:pPr>
              <w:spacing w:line="480" w:lineRule="exact"/>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自然保护地体系及监测体系建设。</w:t>
            </w:r>
            <w:r>
              <w:rPr>
                <w:rFonts w:hint="eastAsia" w:cs="仿宋_GB2312" w:asciiTheme="minorEastAsia" w:hAnsiTheme="minorEastAsia" w:eastAsiaTheme="minorEastAsia"/>
                <w:sz w:val="24"/>
                <w:szCs w:val="24"/>
              </w:rPr>
              <w:t>谋划推进汗马国家级自然保护区保护及监测设施建设项目、汗马国家级自然保护区管理局2025年湿地保护与恢复项目。</w:t>
            </w:r>
          </w:p>
          <w:p>
            <w:pPr>
              <w:spacing w:line="480" w:lineRule="exact"/>
              <w:rPr>
                <w:rFonts w:ascii="仿宋_GB2312" w:hAnsi="仿宋_GB2312" w:eastAsia="仿宋_GB2312" w:cs="仿宋_GB2312"/>
                <w:sz w:val="28"/>
                <w:szCs w:val="28"/>
              </w:rPr>
            </w:pPr>
            <w:r>
              <w:rPr>
                <w:rFonts w:hint="eastAsia" w:cs="仿宋_GB2312" w:asciiTheme="minorEastAsia" w:hAnsiTheme="minorEastAsia" w:eastAsiaTheme="minorEastAsia"/>
                <w:b/>
                <w:sz w:val="24"/>
                <w:szCs w:val="24"/>
              </w:rPr>
              <w:t>森林草原防灭火。</w:t>
            </w:r>
            <w:r>
              <w:rPr>
                <w:rFonts w:hint="eastAsia" w:cs="仿宋_GB2312" w:asciiTheme="minorEastAsia" w:hAnsiTheme="minorEastAsia" w:eastAsiaTheme="minorEastAsia"/>
                <w:sz w:val="24"/>
                <w:szCs w:val="24"/>
              </w:rPr>
              <w:t>重点推进金河森工公司至莫尔道嘎森工公司防火道路升级改造修复养护、呼伦贝尔市应急系统森林草原防灭火专业设施建设（根河市）等项目。</w:t>
            </w:r>
          </w:p>
        </w:tc>
      </w:tr>
    </w:tbl>
    <w:p>
      <w:pPr>
        <w:pStyle w:val="12"/>
        <w:spacing w:before="0" w:after="0" w:line="576" w:lineRule="exact"/>
        <w:outlineLvl w:val="9"/>
        <w:rPr>
          <w:rFonts w:ascii="黑体" w:hAnsi="黑体" w:eastAsia="黑体"/>
          <w:b w:val="0"/>
          <w:bCs w:val="0"/>
        </w:rPr>
      </w:pPr>
      <w:bookmarkStart w:id="39" w:name="_Toc12171_WPSOffice_Level2"/>
      <w:bookmarkStart w:id="40" w:name="_Toc3962_WPSOffice_Level2"/>
      <w:r>
        <w:rPr>
          <w:rFonts w:hint="eastAsia" w:ascii="黑体" w:hAnsi="黑体" w:eastAsia="黑体"/>
          <w:b w:val="0"/>
          <w:bCs w:val="0"/>
        </w:rPr>
        <w:t>第二节  深入打好环境污染防治</w:t>
      </w:r>
      <w:bookmarkEnd w:id="39"/>
      <w:r>
        <w:rPr>
          <w:rFonts w:hint="eastAsia" w:ascii="黑体" w:hAnsi="黑体" w:eastAsia="黑体"/>
          <w:b w:val="0"/>
          <w:bCs w:val="0"/>
        </w:rPr>
        <w:t>攻坚战</w:t>
      </w:r>
      <w:bookmarkEnd w:id="40"/>
    </w:p>
    <w:p>
      <w:pPr>
        <w:spacing w:line="576"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立足新发展阶段，完整、准确、全面贯彻新发展理念，构建新发展格局，以实现减污降碳协同增效为总抓手，以改善生态环境质量为核心，统筹污染治理、生态保护、应对气候变化，以更高标准打好蓝天、碧水、净土保卫战。</w:t>
      </w:r>
    </w:p>
    <w:p>
      <w:pPr>
        <w:spacing w:line="576" w:lineRule="exact"/>
        <w:ind w:firstLine="642" w:firstLineChars="200"/>
        <w:rPr>
          <w:rFonts w:ascii="仿宋_GB2312" w:hAnsi="仿宋_GB2312" w:eastAsia="仿宋_GB2312" w:cs="仿宋_GB2312"/>
          <w:b/>
          <w:bCs/>
          <w:sz w:val="32"/>
          <w:szCs w:val="32"/>
        </w:rPr>
      </w:pPr>
      <w:r>
        <w:rPr>
          <w:rFonts w:hint="eastAsia" w:ascii="楷体_GB2312" w:hAnsi="楷体" w:eastAsia="楷体_GB2312"/>
          <w:b/>
          <w:sz w:val="32"/>
          <w:szCs w:val="32"/>
        </w:rPr>
        <w:t>深入打好蓝天保卫战。</w:t>
      </w:r>
      <w:r>
        <w:rPr>
          <w:rFonts w:hint="eastAsia" w:ascii="仿宋_GB2312" w:hAnsi="仿宋_GB2312" w:eastAsia="仿宋_GB2312" w:cs="仿宋_GB2312"/>
          <w:sz w:val="32"/>
          <w:szCs w:val="32"/>
        </w:rPr>
        <w:t>巩固空气质量成果，强化多污染源协同治理。分级建立重污染天气应急预案，加强消耗臭氧层物质和氢氟碳化物管控，聚焦秋冬季细颗粒物污染治理，推进散煤清洁替代与燃煤锅炉整治。强化工业扬尘、施工道路扬尘及餐饮油烟治理，加强城市保洁和清扫工作。强化秸秆综合利用。到2030年，细颗粒物（PM2.5）浓度达到呼伦贝尔市要求。</w:t>
      </w:r>
    </w:p>
    <w:p>
      <w:pPr>
        <w:spacing w:line="576" w:lineRule="exact"/>
        <w:ind w:firstLine="642" w:firstLineChars="200"/>
        <w:rPr>
          <w:rFonts w:ascii="仿宋_GB2312" w:hAnsi="仿宋_GB2312" w:eastAsia="仿宋_GB2312" w:cs="仿宋_GB2312"/>
          <w:b/>
          <w:bCs/>
          <w:sz w:val="32"/>
          <w:szCs w:val="32"/>
        </w:rPr>
      </w:pPr>
      <w:r>
        <w:rPr>
          <w:rFonts w:hint="eastAsia" w:ascii="楷体_GB2312" w:hAnsi="楷体" w:eastAsia="楷体_GB2312"/>
          <w:b/>
          <w:sz w:val="32"/>
          <w:szCs w:val="32"/>
        </w:rPr>
        <w:t>持续打好碧水保卫战。</w:t>
      </w:r>
      <w:r>
        <w:rPr>
          <w:rFonts w:hint="eastAsia" w:ascii="仿宋_GB2312" w:hAnsi="仿宋_GB2312" w:eastAsia="仿宋_GB2312" w:cs="仿宋_GB2312"/>
          <w:bCs/>
          <w:sz w:val="32"/>
          <w:szCs w:val="32"/>
        </w:rPr>
        <w:t>规范城镇饮用水水源地建设，</w:t>
      </w:r>
      <w:r>
        <w:rPr>
          <w:rFonts w:hint="eastAsia" w:ascii="仿宋_GB2312" w:hAnsi="仿宋_GB2312" w:eastAsia="仿宋_GB2312" w:cs="仿宋_GB2312"/>
          <w:sz w:val="32"/>
          <w:szCs w:val="32"/>
        </w:rPr>
        <w:t>保障饮用水水源安全。扩大市政排水管网覆盖范围，推进雨污分流建设、排水管网渗漏排查，补齐城镇污水收集处理短板。落实污水处理收费政策，强化入河排污口管理，有效控制入河污染物排放。加强对重点区域地下水污染排查整治，推进实施生活垃圾填埋场地下水修复管控治理项目。到2030年，优良水体比例达到呼伦贝尔市要求，完成根河“美丽河湖”建设任务。</w:t>
      </w:r>
    </w:p>
    <w:p>
      <w:pPr>
        <w:spacing w:line="576" w:lineRule="exact"/>
        <w:ind w:firstLine="642" w:firstLineChars="200"/>
        <w:rPr>
          <w:rFonts w:ascii="仿宋_GB2312" w:hAnsi="仿宋_GB2312" w:eastAsia="仿宋_GB2312" w:cs="仿宋_GB2312"/>
          <w:b/>
          <w:bCs/>
          <w:sz w:val="32"/>
          <w:szCs w:val="32"/>
        </w:rPr>
      </w:pPr>
      <w:r>
        <w:rPr>
          <w:rFonts w:hint="eastAsia" w:ascii="楷体_GB2312" w:hAnsi="楷体" w:eastAsia="楷体_GB2312"/>
          <w:b/>
          <w:sz w:val="32"/>
          <w:szCs w:val="32"/>
        </w:rPr>
        <w:t>推动打好净土保卫战。</w:t>
      </w:r>
      <w:r>
        <w:rPr>
          <w:rFonts w:hint="eastAsia" w:ascii="仿宋_GB2312" w:hAnsi="仿宋_GB2312" w:eastAsia="仿宋_GB2312" w:cs="仿宋_GB2312"/>
          <w:sz w:val="32"/>
          <w:szCs w:val="32"/>
        </w:rPr>
        <w:t>全面管控土壤污染风险，改善土壤生态环境质量。有效管控建设用地土壤污染风险，严格建设用地土壤污染风险管控和修复名录内地块的准入管理，防范工矿企业新增土壤污染。推进农业面源污染治理，推广测土配方施肥、病虫害绿色防控等技术，减少化肥、农药使用量。持续推进建设用地土壤污染重点监管单位自行监测和隐患排查。推进腾退地块开展土壤污染状况调查、风险评估、风险管控、治理与修复等工作。</w:t>
      </w:r>
    </w:p>
    <w:p>
      <w:pPr>
        <w:spacing w:line="576" w:lineRule="exact"/>
        <w:ind w:firstLine="642" w:firstLineChars="200"/>
        <w:rPr>
          <w:rFonts w:ascii="仿宋_GB2312" w:hAnsi="仿宋_GB2312" w:eastAsia="仿宋_GB2312" w:cs="仿宋_GB2312"/>
          <w:b/>
          <w:bCs/>
          <w:sz w:val="32"/>
          <w:szCs w:val="32"/>
        </w:rPr>
      </w:pPr>
      <w:r>
        <w:rPr>
          <w:rFonts w:hint="eastAsia" w:ascii="楷体_GB2312" w:hAnsi="楷体" w:eastAsia="楷体_GB2312"/>
          <w:b/>
          <w:sz w:val="32"/>
          <w:szCs w:val="32"/>
        </w:rPr>
        <w:t>强化固体废物和新污染物治理。</w:t>
      </w:r>
      <w:r>
        <w:rPr>
          <w:rFonts w:hint="eastAsia" w:ascii="仿宋_GB2312" w:hAnsi="仿宋_GB2312" w:eastAsia="仿宋_GB2312" w:cs="仿宋_GB2312"/>
          <w:sz w:val="32"/>
          <w:szCs w:val="32"/>
        </w:rPr>
        <w:t>推进生活垃圾减量化资源化，规范餐厨垃圾处置。加强建筑垃圾全过程管理，提升建筑垃圾资源化利用水平。开展危险废物全过程监管和专项治理，实施尾矿库分类分级环境监管，开展尾矿库隐患排查治理，提升尾矿库环境监管效能。加强重点领域环境隐患排查和风险防控，严厉打击非法排放、倾倒固废、危废、新污染物等环境违法犯罪行为。到2030年，中心城区建筑垃圾综合利用率达到70%以上。</w:t>
      </w:r>
    </w:p>
    <w:p>
      <w:pPr>
        <w:pStyle w:val="12"/>
        <w:spacing w:before="0" w:after="0" w:line="576" w:lineRule="exact"/>
        <w:outlineLvl w:val="9"/>
        <w:rPr>
          <w:rFonts w:ascii="黑体" w:hAnsi="黑体" w:eastAsia="黑体"/>
          <w:b w:val="0"/>
          <w:bCs w:val="0"/>
        </w:rPr>
      </w:pPr>
      <w:bookmarkStart w:id="41" w:name="_Toc31990_WPSOffice_Level2"/>
      <w:bookmarkStart w:id="42" w:name="_Toc14955_WPSOffice_Level2"/>
      <w:r>
        <w:rPr>
          <w:rFonts w:hint="eastAsia" w:ascii="黑体" w:hAnsi="黑体" w:eastAsia="黑体"/>
          <w:b w:val="0"/>
          <w:bCs w:val="0"/>
        </w:rPr>
        <w:t>第三节  加快推动绿色低碳循环发展</w:t>
      </w:r>
      <w:bookmarkEnd w:id="41"/>
      <w:bookmarkEnd w:id="42"/>
    </w:p>
    <w:p>
      <w:pPr>
        <w:spacing w:line="576" w:lineRule="exact"/>
        <w:ind w:firstLine="640" w:firstLineChars="200"/>
        <w:rPr>
          <w:rFonts w:ascii="楷体_GB2312" w:hAnsi="楷体_GB2312" w:eastAsia="楷体_GB2312" w:cs="楷体_GB2312"/>
          <w:bCs/>
          <w:sz w:val="32"/>
          <w:szCs w:val="32"/>
        </w:rPr>
      </w:pPr>
      <w:r>
        <w:rPr>
          <w:rFonts w:hint="eastAsia" w:ascii="仿宋_GB2312" w:hAnsi="仿宋_GB2312" w:eastAsia="仿宋_GB2312" w:cs="仿宋_GB2312"/>
          <w:sz w:val="32"/>
          <w:szCs w:val="32"/>
        </w:rPr>
        <w:t>顺应绿色低碳转型大趋势，优化能源结构，发展循环经济、绿色交通和节能建筑，加快形成节约资源和保护环境的产业结构、生产方式、生活方式、空间格局，确保碳达峰目标如期实现。</w:t>
      </w:r>
    </w:p>
    <w:p>
      <w:pPr>
        <w:spacing w:line="576" w:lineRule="exact"/>
        <w:ind w:firstLine="642" w:firstLineChars="200"/>
        <w:rPr>
          <w:rFonts w:ascii="仿宋_GB2312" w:hAnsi="仿宋_GB2312" w:eastAsia="仿宋_GB2312" w:cs="仿宋_GB2312"/>
          <w:b/>
          <w:bCs/>
          <w:sz w:val="32"/>
          <w:szCs w:val="32"/>
        </w:rPr>
      </w:pPr>
      <w:r>
        <w:rPr>
          <w:rFonts w:hint="eastAsia" w:ascii="楷体_GB2312" w:hAnsi="楷体" w:eastAsia="楷体_GB2312"/>
          <w:b/>
          <w:sz w:val="32"/>
          <w:szCs w:val="32"/>
        </w:rPr>
        <w:t>有序推进碳达峰行动。</w:t>
      </w:r>
      <w:r>
        <w:rPr>
          <w:rFonts w:hint="eastAsia" w:ascii="仿宋_GB2312" w:hAnsi="仿宋_GB2312" w:eastAsia="仿宋_GB2312" w:cs="仿宋_GB2312"/>
          <w:bCs/>
          <w:sz w:val="32"/>
          <w:szCs w:val="32"/>
        </w:rPr>
        <w:t>严格落实碳排放总量和强度双控制度，推行碳排放预算管理，完善重点用能单位能耗在线监测。加强固定资产投资项目节能审查，坚决遏制高耗能、高排放、低水平项目盲目上马。开展产业低碳转型行动，积极引导工业企业实施节能技术改造项目建设，推广应用先进适用技术装备，加快成果产业化转化步伐。大力发展装配式建筑。将绿色建筑基本要求纳入工程建设强制规范。实施交通运输绿色低碳行动，优化运输结构，推广清洁交通工具，加强绿色交通基础设施建设，推动重点领域节能降碳。提升生态系统碳汇能力。</w:t>
      </w:r>
    </w:p>
    <w:p>
      <w:pPr>
        <w:spacing w:line="576" w:lineRule="exact"/>
        <w:ind w:firstLine="642" w:firstLineChars="200"/>
        <w:rPr>
          <w:rFonts w:ascii="仿宋_GB2312" w:hAnsi="仿宋_GB2312" w:eastAsia="仿宋_GB2312" w:cs="仿宋_GB2312"/>
          <w:bCs/>
          <w:sz w:val="32"/>
          <w:szCs w:val="32"/>
        </w:rPr>
      </w:pPr>
      <w:r>
        <w:rPr>
          <w:rFonts w:hint="eastAsia" w:ascii="楷体_GB2312" w:hAnsi="楷体" w:eastAsia="楷体_GB2312"/>
          <w:b/>
          <w:sz w:val="32"/>
          <w:szCs w:val="32"/>
        </w:rPr>
        <w:t>节约集约利用水资源。</w:t>
      </w:r>
      <w:r>
        <w:rPr>
          <w:rFonts w:hint="eastAsia" w:ascii="仿宋_GB2312" w:hAnsi="仿宋_GB2312" w:eastAsia="仿宋_GB2312" w:cs="仿宋_GB2312"/>
          <w:sz w:val="32"/>
          <w:szCs w:val="32"/>
        </w:rPr>
        <w:t>坚持“四水四定”，落实水资源刚性约束制度，提高用水效率。</w:t>
      </w:r>
      <w:r>
        <w:rPr>
          <w:rFonts w:hint="eastAsia" w:ascii="仿宋_GB2312" w:hAnsi="仿宋_GB2312" w:eastAsia="仿宋_GB2312" w:cs="仿宋_GB2312"/>
          <w:bCs/>
          <w:sz w:val="32"/>
          <w:szCs w:val="32"/>
        </w:rPr>
        <w:t>加强地下水保护开发利用管理，实行地下水取水总量控制。推动污水资源化利用，加强中水等非常规水源配置，提高再生水利用水平。推进水权改革和水价综合改革，引导全社会节约用水。到2030年，用水总量、城市供水管网漏损率、再生水利用率控制在既定目标内。</w:t>
      </w:r>
    </w:p>
    <w:p>
      <w:pPr>
        <w:spacing w:line="576" w:lineRule="exact"/>
        <w:ind w:firstLine="642" w:firstLineChars="200"/>
        <w:rPr>
          <w:rFonts w:ascii="仿宋_GB2312" w:hAnsi="仿宋_GB2312" w:eastAsia="仿宋_GB2312" w:cs="仿宋_GB2312"/>
          <w:sz w:val="32"/>
          <w:szCs w:val="32"/>
          <w:shd w:val="clear" w:color="auto" w:fill="FFFFFF"/>
        </w:rPr>
      </w:pPr>
      <w:r>
        <w:rPr>
          <w:rFonts w:hint="eastAsia" w:ascii="楷体_GB2312" w:hAnsi="楷体" w:eastAsia="楷体_GB2312"/>
          <w:b/>
          <w:sz w:val="32"/>
          <w:szCs w:val="32"/>
        </w:rPr>
        <w:t>高效利用土地资源。</w:t>
      </w:r>
      <w:r>
        <w:rPr>
          <w:rFonts w:hint="eastAsia" w:ascii="仿宋_GB2312" w:hAnsi="仿宋_GB2312" w:eastAsia="仿宋_GB2312" w:cs="仿宋_GB2312"/>
          <w:bCs/>
          <w:sz w:val="32"/>
          <w:szCs w:val="32"/>
        </w:rPr>
        <w:t>开展《根河市国土空间总体规划（2021—2035年）》评估完善工作，实行用地计划差别化管理，大力推进城市建设用地增减挂钩和工矿废弃地复垦调整利用，有效拓展用地空间。实施耕地保护。</w:t>
      </w:r>
      <w:r>
        <w:rPr>
          <w:rFonts w:hint="eastAsia" w:ascii="仿宋_GB2312" w:hAnsi="仿宋_GB2312" w:eastAsia="仿宋_GB2312" w:cs="仿宋_GB2312"/>
          <w:sz w:val="32"/>
          <w:szCs w:val="32"/>
          <w:shd w:val="clear" w:color="auto" w:fill="FFFFFF"/>
        </w:rPr>
        <w:t>完善闲置和低效用地“收回”和“退出”机制。提高土地利用效率和效益。</w:t>
      </w:r>
    </w:p>
    <w:p>
      <w:pPr>
        <w:spacing w:line="576" w:lineRule="exact"/>
        <w:ind w:firstLine="642" w:firstLineChars="200"/>
        <w:rPr>
          <w:rFonts w:ascii="仿宋_GB2312" w:hAnsi="仿宋_GB2312" w:eastAsia="仿宋_GB2312" w:cs="仿宋_GB2312"/>
          <w:sz w:val="32"/>
          <w:szCs w:val="32"/>
          <w:shd w:val="clear" w:color="auto" w:fill="FFFFFF"/>
        </w:rPr>
      </w:pPr>
      <w:r>
        <w:rPr>
          <w:rFonts w:hint="eastAsia" w:ascii="楷体_GB2312" w:hAnsi="楷体" w:eastAsia="楷体_GB2312"/>
          <w:b/>
          <w:sz w:val="32"/>
          <w:szCs w:val="32"/>
        </w:rPr>
        <w:t>培育和践行绿色低碳生活方式。</w:t>
      </w:r>
      <w:r>
        <w:rPr>
          <w:rFonts w:hint="eastAsia" w:ascii="仿宋_GB2312" w:hAnsi="仿宋_GB2312" w:eastAsia="仿宋_GB2312" w:cs="仿宋_GB2312"/>
          <w:sz w:val="32"/>
          <w:szCs w:val="32"/>
          <w:shd w:val="clear" w:color="auto" w:fill="FFFFFF"/>
        </w:rPr>
        <w:t>加强建设我国北方重要生态安全屏障的宣传引导，开展世界环境日、世界水日、全国节能宣传周、全国城市节约用水宣传周、全国低碳日等主题宣传活动，以及节水、节电、节粮、垃圾分类、校园绿化等生活实践活动，增强社会公众绿色低碳节约意识。推广简约适度、绿色低碳、文明健康的生活和消费模式，引导居民参与节能减排、垃圾分类等活动，鼓励消费者购买和使用节能、节水、再生产品，减少一次性产品和不可降解材料使用。坚决制止餐饮浪费，常态化开展“光盘行动”等反食品浪费活动。鼓励绿色低碳出行。</w:t>
      </w:r>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推进循环经济发展。</w:t>
      </w:r>
      <w:r>
        <w:rPr>
          <w:rFonts w:hint="eastAsia" w:ascii="仿宋_GB2312" w:hAnsi="仿宋_GB2312" w:eastAsia="仿宋_GB2312" w:cs="仿宋_GB2312"/>
          <w:sz w:val="32"/>
          <w:szCs w:val="32"/>
        </w:rPr>
        <w:t>推广资源循环型生产模式，加强工业废弃物精细管理与余压余热资源化利用。健全生活垃圾收运处置体系，提高快递包装废弃物回收水平，加大对商品过度包装的治理力度。引导二手商品交易便利化、规范化。到2030年，秸秆综合利用率达到96.5%，存量大宗工业固废有序减少。</w:t>
      </w:r>
    </w:p>
    <w:tbl>
      <w:tblPr>
        <w:tblStyle w:val="31"/>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060" w:type="dxa"/>
            <w:vAlign w:val="center"/>
          </w:tcPr>
          <w:p>
            <w:pPr>
              <w:jc w:val="center"/>
              <w:rPr>
                <w:rFonts w:ascii="黑体" w:hAnsi="黑体" w:eastAsia="黑体" w:cs="仿宋_GB2312"/>
                <w:sz w:val="28"/>
                <w:szCs w:val="28"/>
              </w:rPr>
            </w:pPr>
            <w:r>
              <w:rPr>
                <w:rFonts w:hint="eastAsia" w:ascii="黑体" w:hAnsi="黑体" w:eastAsia="黑体" w:cs="仿宋_GB2312"/>
                <w:sz w:val="28"/>
                <w:szCs w:val="28"/>
              </w:rPr>
              <w:t>专栏3“十五五”环境污染防治和资源循环利用工程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9" w:hRule="atLeast"/>
        </w:trPr>
        <w:tc>
          <w:tcPr>
            <w:tcW w:w="9060" w:type="dxa"/>
          </w:tcPr>
          <w:p>
            <w:pPr>
              <w:spacing w:line="400" w:lineRule="exact"/>
              <w:rPr>
                <w:rFonts w:cs="仿宋_GB2312" w:asciiTheme="minorEastAsia" w:hAnsiTheme="minorEastAsia" w:eastAsiaTheme="minorEastAsia"/>
                <w:sz w:val="24"/>
                <w:szCs w:val="24"/>
              </w:rPr>
            </w:pPr>
            <w:r>
              <w:rPr>
                <w:rFonts w:hint="eastAsia" w:cs="仿宋_GB2312" w:asciiTheme="minorEastAsia" w:hAnsiTheme="minorEastAsia" w:eastAsiaTheme="minorEastAsia"/>
                <w:b/>
                <w:sz w:val="24"/>
                <w:szCs w:val="24"/>
              </w:rPr>
              <w:t>1.大气污染防治及节能改造。</w:t>
            </w:r>
            <w:r>
              <w:rPr>
                <w:rFonts w:hint="eastAsia" w:cs="仿宋_GB2312" w:asciiTheme="minorEastAsia" w:hAnsiTheme="minorEastAsia" w:eastAsiaTheme="minorEastAsia"/>
                <w:sz w:val="24"/>
                <w:szCs w:val="24"/>
              </w:rPr>
              <w:t>实施节能改造项目，重点推进既有居住建筑节能改造等项目。</w:t>
            </w:r>
          </w:p>
          <w:p>
            <w:pPr>
              <w:spacing w:line="400" w:lineRule="exact"/>
              <w:rPr>
                <w:rFonts w:ascii="仿宋_GB2312" w:hAnsi="仿宋_GB2312" w:eastAsia="仿宋_GB2312" w:cs="仿宋_GB2312"/>
                <w:sz w:val="32"/>
                <w:szCs w:val="32"/>
              </w:rPr>
            </w:pPr>
            <w:r>
              <w:rPr>
                <w:rFonts w:hint="eastAsia" w:cs="仿宋_GB2312" w:asciiTheme="minorEastAsia" w:hAnsiTheme="minorEastAsia" w:eastAsiaTheme="minorEastAsia"/>
                <w:b/>
                <w:sz w:val="24"/>
                <w:szCs w:val="24"/>
              </w:rPr>
              <w:t>2.水污染防治。</w:t>
            </w:r>
            <w:r>
              <w:rPr>
                <w:rFonts w:hint="eastAsia" w:cs="仿宋_GB2312" w:asciiTheme="minorEastAsia" w:hAnsiTheme="minorEastAsia" w:eastAsiaTheme="minorEastAsia"/>
                <w:sz w:val="24"/>
                <w:szCs w:val="24"/>
              </w:rPr>
              <w:t>重点推进生活垃圾填埋场地下水修复管控治理项目。</w:t>
            </w:r>
          </w:p>
        </w:tc>
      </w:tr>
    </w:tbl>
    <w:p>
      <w:pPr>
        <w:pStyle w:val="12"/>
        <w:spacing w:before="0" w:after="0" w:line="576" w:lineRule="exact"/>
        <w:outlineLvl w:val="9"/>
        <w:rPr>
          <w:rFonts w:ascii="黑体" w:hAnsi="黑体" w:eastAsia="黑体"/>
          <w:b w:val="0"/>
          <w:bCs w:val="0"/>
        </w:rPr>
      </w:pPr>
      <w:bookmarkStart w:id="43" w:name="_Toc11707_WPSOffice_Level2"/>
      <w:bookmarkStart w:id="44" w:name="_Toc4302_WPSOffice_Level2"/>
      <w:bookmarkStart w:id="45" w:name="_Toc24819_WPSOffice_Level2"/>
      <w:r>
        <w:rPr>
          <w:rFonts w:hint="eastAsia" w:ascii="黑体" w:hAnsi="黑体" w:eastAsia="黑体"/>
          <w:b w:val="0"/>
          <w:bCs w:val="0"/>
        </w:rPr>
        <w:t>第四节  健全生态环境治理体系</w:t>
      </w:r>
      <w:bookmarkEnd w:id="43"/>
      <w:bookmarkEnd w:id="44"/>
    </w:p>
    <w:p>
      <w:pPr>
        <w:spacing w:line="576" w:lineRule="exact"/>
        <w:ind w:firstLine="640" w:firstLineChars="200"/>
        <w:rPr>
          <w:rFonts w:ascii="仿宋_GB2312" w:hAnsi="仿宋_GB2312" w:eastAsia="仿宋_GB2312" w:cs="仿宋_GB2312"/>
          <w:bCs/>
          <w:sz w:val="32"/>
          <w:szCs w:val="32"/>
        </w:rPr>
      </w:pPr>
      <w:r>
        <w:rPr>
          <w:rFonts w:hint="eastAsia" w:ascii="仿宋_GB2312" w:hAnsi="仿宋_GB2312" w:eastAsia="仿宋_GB2312" w:cs="仿宋_GB2312"/>
          <w:bCs/>
          <w:sz w:val="32"/>
          <w:szCs w:val="32"/>
        </w:rPr>
        <w:t>按照主体功能定位管控开发强度，优化空间结构，保护自然生态，健全生态环境监管体系，</w:t>
      </w:r>
      <w:r>
        <w:rPr>
          <w:rFonts w:hint="eastAsia" w:ascii="仿宋_GB2312" w:hAnsi="仿宋_GB2312" w:eastAsia="仿宋_GB2312" w:cs="仿宋_GB2312"/>
          <w:sz w:val="32"/>
          <w:szCs w:val="32"/>
        </w:rPr>
        <w:t>深化“一张图”“一张网”应用，以及“天空地”一体化监测体系建设，</w:t>
      </w:r>
      <w:r>
        <w:rPr>
          <w:rFonts w:hint="eastAsia" w:ascii="仿宋_GB2312" w:hAnsi="仿宋_GB2312" w:eastAsia="仿宋_GB2312" w:cs="仿宋_GB2312"/>
          <w:bCs/>
          <w:sz w:val="32"/>
          <w:szCs w:val="32"/>
        </w:rPr>
        <w:t>提升生态环境风险研判、监测预警、应急处置能力，形成全域联动、立体高效的生态安全防护体系。</w:t>
      </w:r>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实施“三线一单”生态环境分区管控。</w:t>
      </w:r>
      <w:r>
        <w:rPr>
          <w:rFonts w:hint="eastAsia" w:ascii="仿宋_GB2312" w:hAnsi="仿宋_GB2312" w:eastAsia="仿宋_GB2312" w:cs="仿宋_GB2312"/>
          <w:sz w:val="32"/>
          <w:szCs w:val="32"/>
        </w:rPr>
        <w:t>完善生态环境分区管控体系，落实生态保护红线、环境质量底线、资源利用上线和生态环境准入清单，强化生态环境分区管控在环评、排污许可、生态、水、大气、土壤、固体废物等环境管理中的应用。严格管控生态红线范围内实施的项目。以生态保护红线为基础，确定生态环境优先保护单元，在国土空间规划评估工作中优化调整根河市“三区三线”。</w:t>
      </w:r>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完善生态环境保护责任体系。</w:t>
      </w:r>
      <w:r>
        <w:rPr>
          <w:rFonts w:hint="eastAsia" w:ascii="仿宋_GB2312" w:hAnsi="仿宋_GB2312" w:eastAsia="仿宋_GB2312" w:cs="仿宋_GB2312"/>
          <w:sz w:val="32"/>
          <w:szCs w:val="32"/>
        </w:rPr>
        <w:t>压实生态环境保护“党政同责”“一岗双责”，落实生态环境损害责任终身追究制，以及领导干部自然资源资产责任审计制度，依法开展自然资源资产离任（任中）审计。加强生态环境保护综合执法队伍建设，坚决打击各类生态环境违法行为，持续提升监管效能。落实环境信息依法披露制度，依法向社会公开生态环境质量状况等信息。全面实行排污许可管理制度，规范排污许可证核发。</w:t>
      </w:r>
    </w:p>
    <w:p>
      <w:pPr>
        <w:pStyle w:val="12"/>
        <w:spacing w:before="0" w:after="0" w:line="576" w:lineRule="exact"/>
        <w:outlineLvl w:val="9"/>
        <w:rPr>
          <w:rFonts w:ascii="黑体" w:hAnsi="黑体" w:eastAsia="黑体"/>
          <w:b w:val="0"/>
          <w:bCs w:val="0"/>
        </w:rPr>
      </w:pPr>
      <w:bookmarkStart w:id="46" w:name="_Toc31473_WPSOffice_Level2"/>
      <w:r>
        <w:rPr>
          <w:rFonts w:hint="eastAsia" w:ascii="黑体" w:hAnsi="黑体" w:eastAsia="黑体"/>
          <w:b w:val="0"/>
          <w:bCs w:val="0"/>
        </w:rPr>
        <w:t>第五节  加快生态价值转化</w:t>
      </w:r>
      <w:bookmarkEnd w:id="45"/>
      <w:bookmarkEnd w:id="46"/>
    </w:p>
    <w:p>
      <w:pPr>
        <w:spacing w:line="576" w:lineRule="exact"/>
        <w:ind w:firstLine="640" w:firstLineChars="200"/>
        <w:rPr>
          <w:rFonts w:ascii="楷体_GB2312" w:hAnsi="楷体_GB2312" w:eastAsia="楷体_GB2312" w:cs="楷体_GB2312"/>
          <w:bCs/>
          <w:sz w:val="32"/>
          <w:szCs w:val="32"/>
        </w:rPr>
      </w:pPr>
      <w:r>
        <w:rPr>
          <w:rFonts w:hint="eastAsia" w:ascii="仿宋_GB2312" w:hAnsi="楷体_GB2312" w:eastAsia="仿宋_GB2312" w:cs="楷体_GB2312"/>
          <w:bCs/>
          <w:sz w:val="32"/>
          <w:szCs w:val="32"/>
        </w:rPr>
        <w:t>建立生态建设与生态产品价值实现的良性循环机制，加快形成生态产品价值实现政策制度体系和实践路径，拓宽绿水青山转化为金山银山的路径。</w:t>
      </w:r>
    </w:p>
    <w:p>
      <w:pPr>
        <w:spacing w:line="576" w:lineRule="exact"/>
        <w:ind w:firstLine="642" w:firstLineChars="200"/>
        <w:rPr>
          <w:rFonts w:ascii="仿宋_GB2312" w:hAnsi="楷体_GB2312" w:eastAsia="仿宋_GB2312" w:cs="楷体_GB2312"/>
          <w:b/>
          <w:bCs/>
          <w:sz w:val="32"/>
          <w:szCs w:val="32"/>
        </w:rPr>
      </w:pPr>
      <w:r>
        <w:rPr>
          <w:rFonts w:hint="eastAsia" w:ascii="楷体_GB2312" w:hAnsi="楷体" w:eastAsia="楷体_GB2312"/>
          <w:b/>
          <w:sz w:val="32"/>
          <w:szCs w:val="32"/>
        </w:rPr>
        <w:t>拓宽生态产品价值实现路径。</w:t>
      </w:r>
      <w:r>
        <w:rPr>
          <w:rFonts w:hint="eastAsia" w:ascii="仿宋_GB2312" w:hAnsi="楷体_GB2312" w:eastAsia="仿宋_GB2312" w:cs="楷体_GB2312"/>
          <w:bCs/>
          <w:sz w:val="32"/>
          <w:szCs w:val="32"/>
        </w:rPr>
        <w:t>完善生态产品监测和价值核算机制，持续推进自然资源统一确权登记，逐步实现对自然资源确权登记全覆盖，加强自然资源资产产权监管。推动生态资源权益交易，落实排污权有偿使用和交易制度，有序开展碳排放权交易，拓宽生态产品价值实现途径。</w:t>
      </w:r>
    </w:p>
    <w:p>
      <w:pPr>
        <w:spacing w:line="576" w:lineRule="exact"/>
        <w:ind w:firstLine="642" w:firstLineChars="200"/>
        <w:rPr>
          <w:rFonts w:ascii="仿宋_GB2312" w:hAnsi="仿宋_GB2312" w:eastAsia="仿宋_GB2312" w:cs="仿宋_GB2312"/>
          <w:b/>
          <w:bCs/>
          <w:sz w:val="32"/>
          <w:szCs w:val="32"/>
        </w:rPr>
      </w:pPr>
      <w:r>
        <w:rPr>
          <w:rFonts w:hint="eastAsia" w:ascii="楷体_GB2312" w:hAnsi="楷体" w:eastAsia="楷体_GB2312"/>
          <w:b/>
          <w:sz w:val="32"/>
          <w:szCs w:val="32"/>
        </w:rPr>
        <w:t>增加生态产品供给。</w:t>
      </w:r>
      <w:r>
        <w:rPr>
          <w:rFonts w:hint="eastAsia" w:ascii="仿宋_GB2312" w:hAnsi="仿宋_GB2312" w:eastAsia="仿宋_GB2312" w:cs="仿宋_GB2312"/>
          <w:bCs/>
          <w:sz w:val="32"/>
          <w:szCs w:val="32"/>
        </w:rPr>
        <w:t>深入探索生态产品价值实现机制与产品供给能力。立足生态资源禀赋，深化与驻市森工公司沟通对接，拓展林下经济、碳汇经济、生态旅游等领域合作路径，推动生态资源向市场化价值精准转化。抓好“国家生态文明建设示范市”复核工作，深化“绿水青山就是金山银山”实践创新基地成果转化，争取国家、自治区加大生态保护补偿力度，争取中央预算内投资加大对重点生态功能区基础设施和基本公共服务设施建设支持力度。加强与周边地区的协商合作，探索建立跨区域生态补偿制度，实现生态保护成本共担、生态效益共享。落实依法建设占用各类自然生态空间的占用补偿制度，推进生态环境损害赔偿，加强行政执法与司法协同合作。</w:t>
      </w:r>
    </w:p>
    <w:p>
      <w:pPr>
        <w:pStyle w:val="12"/>
        <w:spacing w:before="0" w:after="0"/>
        <w:outlineLvl w:val="9"/>
        <w:rPr>
          <w:rFonts w:ascii="方正小标宋简体" w:hAnsi="黑体" w:eastAsia="方正小标宋简体"/>
          <w:b w:val="0"/>
          <w:sz w:val="36"/>
          <w:szCs w:val="36"/>
        </w:rPr>
      </w:pPr>
      <w:bookmarkStart w:id="47" w:name="_Toc26400_WPSOffice_Level1"/>
      <w:bookmarkStart w:id="48" w:name="_Toc14651_WPSOffice_Level1"/>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
    <w:p/>
    <w:p/>
    <w:p/>
    <w:p/>
    <w:p/>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r>
        <w:rPr>
          <w:rFonts w:hint="eastAsia" w:ascii="方正小标宋简体" w:hAnsi="黑体" w:eastAsia="方正小标宋简体"/>
          <w:b w:val="0"/>
          <w:sz w:val="36"/>
          <w:szCs w:val="36"/>
        </w:rPr>
        <w:t>第五章  统筹高质量发展和高水平安全 夯实筑牢</w:t>
      </w:r>
    </w:p>
    <w:p>
      <w:pPr>
        <w:pStyle w:val="12"/>
        <w:spacing w:before="0" w:after="0"/>
        <w:outlineLvl w:val="9"/>
        <w:rPr>
          <w:rFonts w:ascii="方正小标宋简体" w:hAnsi="黑体" w:eastAsia="方正小标宋简体"/>
          <w:b w:val="0"/>
          <w:sz w:val="36"/>
          <w:szCs w:val="36"/>
        </w:rPr>
      </w:pPr>
      <w:r>
        <w:rPr>
          <w:rFonts w:hint="eastAsia" w:ascii="方正小标宋简体" w:hAnsi="黑体" w:eastAsia="方正小标宋简体"/>
          <w:b w:val="0"/>
          <w:sz w:val="36"/>
          <w:szCs w:val="36"/>
        </w:rPr>
        <w:t>祖国北疆安全稳定屏障</w:t>
      </w:r>
      <w:bookmarkEnd w:id="47"/>
      <w:r>
        <w:rPr>
          <w:rFonts w:hint="eastAsia" w:ascii="方正小标宋简体" w:hAnsi="黑体" w:eastAsia="方正小标宋简体"/>
          <w:b w:val="0"/>
          <w:sz w:val="36"/>
          <w:szCs w:val="36"/>
        </w:rPr>
        <w:t>基础</w:t>
      </w:r>
      <w:bookmarkEnd w:id="48"/>
    </w:p>
    <w:p>
      <w:pPr>
        <w:spacing w:line="576" w:lineRule="exact"/>
        <w:ind w:firstLine="640" w:firstLineChars="200"/>
        <w:rPr>
          <w:rFonts w:ascii="仿宋_GB2312" w:hAnsi="仿宋_GB2312" w:eastAsia="仿宋_GB2312" w:cs="仿宋_GB2312"/>
          <w:sz w:val="32"/>
          <w:szCs w:val="32"/>
        </w:rPr>
      </w:pPr>
    </w:p>
    <w:p>
      <w:pPr>
        <w:spacing w:line="576"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坚定不移贯彻总体国家安全观，加快推进国家安全体系和能力现代化，完善社会治理体系，提升社会治理效能，防范化解系统性重大安全风险，守住安全发展底线，维护社会和谐稳定，保障人民安居乐业。</w:t>
      </w:r>
    </w:p>
    <w:p>
      <w:pPr>
        <w:pStyle w:val="12"/>
        <w:spacing w:before="0" w:after="0" w:line="576" w:lineRule="exact"/>
        <w:outlineLvl w:val="9"/>
        <w:rPr>
          <w:rFonts w:ascii="黑体" w:hAnsi="黑体" w:eastAsia="黑体"/>
          <w:b w:val="0"/>
          <w:bCs w:val="0"/>
        </w:rPr>
      </w:pPr>
      <w:bookmarkStart w:id="49" w:name="_Toc27668_WPSOffice_Level2"/>
      <w:bookmarkStart w:id="50" w:name="_Toc21297_WPSOffice_Level2"/>
      <w:r>
        <w:rPr>
          <w:rFonts w:hint="eastAsia" w:ascii="黑体" w:hAnsi="黑体" w:eastAsia="黑体"/>
          <w:b w:val="0"/>
          <w:bCs w:val="0"/>
        </w:rPr>
        <w:t>第一节  坚决维护国家政治安全</w:t>
      </w:r>
      <w:bookmarkEnd w:id="49"/>
      <w:bookmarkEnd w:id="50"/>
    </w:p>
    <w:p>
      <w:pPr>
        <w:spacing w:line="576"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坚定维护国家政权安全、制度安全、意识形态安全，严密防范和严厉打击敌对势力渗透颠覆破坏活动。严格落实党委（党组）国家安全责任制，提升预警预防、风险研判、危机管控、应急处置能力，深入推进网络综合治理，增强维护国家安全能力。落实意识形态工作责任制，加强意识形态阵地管理，牢牢掌握党对意识形态工作领导权。落实党管保密政治责任，强化保密纪律刚性约束，筑牢安全保密防线。加强国家安全人民防线建设，建立军地情报会商制度，健全情报信息网络，做好安全风险研判、防控协同、防范化解工作，加大对各类影响政治安全风险隐患的基础调查、滚动摸排力度，提升防范化解政治安全风险的能力。加强国家安全和保守国家秘密宣传教育，增强全民国家安全意识。</w:t>
      </w:r>
    </w:p>
    <w:p>
      <w:pPr>
        <w:pStyle w:val="12"/>
        <w:spacing w:before="0" w:after="0" w:line="576" w:lineRule="exact"/>
        <w:outlineLvl w:val="9"/>
        <w:rPr>
          <w:rFonts w:ascii="黑体" w:hAnsi="黑体" w:eastAsia="黑体"/>
          <w:b w:val="0"/>
          <w:bCs w:val="0"/>
        </w:rPr>
      </w:pPr>
      <w:bookmarkStart w:id="51" w:name="_Toc23091_WPSOffice_Level2"/>
      <w:bookmarkStart w:id="52" w:name="_Toc12157_WPSOffice_Level2"/>
      <w:r>
        <w:rPr>
          <w:rFonts w:hint="eastAsia" w:ascii="黑体" w:hAnsi="黑体" w:eastAsia="黑体"/>
          <w:b w:val="0"/>
          <w:bCs w:val="0"/>
        </w:rPr>
        <w:t xml:space="preserve">第二节 </w:t>
      </w:r>
      <w:bookmarkEnd w:id="51"/>
      <w:r>
        <w:rPr>
          <w:rFonts w:hint="eastAsia" w:ascii="黑体" w:hAnsi="黑体" w:eastAsia="黑体"/>
          <w:b w:val="0"/>
          <w:bCs w:val="0"/>
        </w:rPr>
        <w:t xml:space="preserve"> 强化国防动员体系建设</w:t>
      </w:r>
      <w:bookmarkEnd w:id="52"/>
    </w:p>
    <w:p>
      <w:pPr>
        <w:spacing w:line="576" w:lineRule="exact"/>
        <w:ind w:firstLine="629" w:firstLineChars="196"/>
        <w:rPr>
          <w:rFonts w:ascii="仿宋_GB2312" w:hAnsi="仿宋_GB2312" w:eastAsia="仿宋_GB2312" w:cs="仿宋_GB2312"/>
          <w:sz w:val="32"/>
          <w:szCs w:val="32"/>
        </w:rPr>
      </w:pPr>
      <w:r>
        <w:rPr>
          <w:rFonts w:hint="eastAsia" w:ascii="楷体_GB2312" w:hAnsi="楷体" w:eastAsia="楷体_GB2312"/>
          <w:b/>
          <w:sz w:val="32"/>
          <w:szCs w:val="32"/>
        </w:rPr>
        <w:t>加强国防动员组织体系建设。</w:t>
      </w:r>
      <w:r>
        <w:rPr>
          <w:rFonts w:hint="eastAsia" w:ascii="仿宋_GB2312" w:hAnsi="仿宋_GB2312" w:eastAsia="仿宋_GB2312" w:cs="仿宋_GB2312"/>
          <w:sz w:val="32"/>
          <w:szCs w:val="32"/>
        </w:rPr>
        <w:t>积极支持驻地部队建设，加强国防后备力量和民兵预备役部队建设。深入推进国防动员与经济社会发展相结合，加强国防动员、人民防空工作，深入开展双拥共建工作，完善军转、军休人员，退役士兵及士官安置和随军家属就业机制，推进现有就业服务、教育培训等政策全面覆盖，鼓励退役军人返乡创业、自主创业。落实优抚对象抚恤补助政策。加强退役军人管理，落实退役军人安置制度，加强退役军人就业创业扶持、待遇保障、伤残抚恤、优抚优待等。加强退役军人服务中心建设，加强“三红”人员、在乡老复员军人等生活保障，维护军人军属合法权益。</w:t>
      </w:r>
    </w:p>
    <w:p>
      <w:pPr>
        <w:spacing w:line="576" w:lineRule="exact"/>
        <w:ind w:firstLine="629" w:firstLineChars="196"/>
        <w:rPr>
          <w:rFonts w:ascii="仿宋_GB2312" w:hAnsi="仿宋_GB2312" w:eastAsia="仿宋_GB2312" w:cs="仿宋_GB2312"/>
          <w:sz w:val="32"/>
          <w:szCs w:val="32"/>
        </w:rPr>
      </w:pPr>
      <w:r>
        <w:rPr>
          <w:rFonts w:hint="eastAsia" w:ascii="楷体_GB2312" w:hAnsi="楷体" w:eastAsia="楷体_GB2312"/>
          <w:b/>
          <w:sz w:val="32"/>
          <w:szCs w:val="32"/>
        </w:rPr>
        <w:t>加强国防教育。</w:t>
      </w:r>
      <w:r>
        <w:rPr>
          <w:rFonts w:hint="eastAsia" w:ascii="仿宋_GB2312" w:hAnsi="仿宋_GB2312" w:eastAsia="仿宋_GB2312" w:cs="仿宋_GB2312"/>
          <w:sz w:val="32"/>
          <w:szCs w:val="32"/>
        </w:rPr>
        <w:t>开展国防形势与任务等学习教育，增强广大干部群众的国防意识和国防素养。加强舆论宣传引导，把国防教育融入重大主题宣传、形势政策宣传、成就宣传、典型宣传，提高国防教育宣传的吸引力和感染力。做好兵役登记和预备役人员管理工作。加强烈士纪念设施建设和维护，发挥好褒扬英烈、教育后人的红色资源作用。</w:t>
      </w:r>
    </w:p>
    <w:p>
      <w:pPr>
        <w:spacing w:line="576" w:lineRule="exact"/>
        <w:ind w:firstLine="629" w:firstLineChars="196"/>
        <w:rPr>
          <w:rFonts w:ascii="仿宋_GB2312" w:hAnsi="仿宋_GB2312" w:eastAsia="仿宋_GB2312" w:cs="仿宋_GB2312"/>
          <w:sz w:val="32"/>
          <w:szCs w:val="32"/>
        </w:rPr>
      </w:pPr>
      <w:r>
        <w:rPr>
          <w:rFonts w:hint="eastAsia" w:ascii="楷体_GB2312" w:hAnsi="楷体" w:eastAsia="楷体_GB2312"/>
          <w:b/>
          <w:sz w:val="32"/>
          <w:szCs w:val="32"/>
        </w:rPr>
        <w:t>推动军民融合发展。</w:t>
      </w:r>
      <w:r>
        <w:rPr>
          <w:rFonts w:hint="eastAsia" w:ascii="仿宋_GB2312" w:hAnsi="仿宋_GB2312" w:eastAsia="仿宋_GB2312" w:cs="仿宋_GB2312"/>
          <w:sz w:val="32"/>
          <w:szCs w:val="32"/>
        </w:rPr>
        <w:t>深入贯彻军民融合发展战略，强化国防建设与区域经济社会发展的统筹衔接，推动形成军地资源共享、优势互补、协同发展的新格局。立足区域发展实际与国防需求，统筹基础设施、产业发展、科技创新、公共服务等重点领域军民融合发展。</w:t>
      </w:r>
    </w:p>
    <w:p>
      <w:pPr>
        <w:pStyle w:val="12"/>
        <w:spacing w:before="0" w:after="0" w:line="576" w:lineRule="exact"/>
        <w:outlineLvl w:val="9"/>
        <w:rPr>
          <w:rFonts w:ascii="黑体" w:hAnsi="黑体" w:eastAsia="黑体"/>
          <w:b w:val="0"/>
          <w:bCs w:val="0"/>
        </w:rPr>
      </w:pPr>
      <w:bookmarkStart w:id="53" w:name="_Toc15718_WPSOffice_Level2"/>
      <w:bookmarkStart w:id="54" w:name="_Toc3765_WPSOffice_Level2"/>
      <w:r>
        <w:rPr>
          <w:rFonts w:hint="eastAsia" w:ascii="黑体" w:hAnsi="黑体" w:eastAsia="黑体"/>
          <w:b w:val="0"/>
          <w:bCs w:val="0"/>
        </w:rPr>
        <w:t>第三节  增强经济安全保障</w:t>
      </w:r>
      <w:bookmarkEnd w:id="53"/>
      <w:bookmarkEnd w:id="54"/>
    </w:p>
    <w:p>
      <w:pPr>
        <w:spacing w:line="576"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强化经济金融安全风险预警、防控机制和建设能力，实现关键领域安全可控。加大政府债务化解力度，坚决遏制新增隐性债务。强化地方金融监管，严厉打击非法集资行为，严防系统性风险。加强金融机构从业人员行为管理，面向居民和企业普及金融知识，增强风险防范能力。构建粮食安全保障体系，维护市场供需基本平衡，提升粮食应急保障水平。加强产业链供应链安全建设，增强产业体系抗冲击能力。完善重要商品市场监测预警机制，保持市场供需基本平衡和价格总体稳定。</w:t>
      </w:r>
    </w:p>
    <w:p>
      <w:pPr>
        <w:pStyle w:val="12"/>
        <w:spacing w:before="0" w:after="0" w:line="576" w:lineRule="exact"/>
        <w:outlineLvl w:val="9"/>
        <w:rPr>
          <w:rFonts w:ascii="黑体" w:hAnsi="黑体" w:eastAsia="黑体"/>
          <w:b w:val="0"/>
          <w:bCs w:val="0"/>
        </w:rPr>
      </w:pPr>
      <w:bookmarkStart w:id="55" w:name="_Toc14462_WPSOffice_Level2"/>
      <w:bookmarkStart w:id="56" w:name="_Toc30068_WPSOffice_Level2"/>
      <w:r>
        <w:rPr>
          <w:rFonts w:hint="eastAsia" w:ascii="黑体" w:hAnsi="黑体" w:eastAsia="黑体"/>
          <w:b w:val="0"/>
          <w:bCs w:val="0"/>
        </w:rPr>
        <w:t>第四节  提升公共安全治理水平</w:t>
      </w:r>
      <w:bookmarkEnd w:id="55"/>
      <w:bookmarkEnd w:id="56"/>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健全城镇安全风险管控体系。</w:t>
      </w:r>
      <w:r>
        <w:rPr>
          <w:rFonts w:hint="eastAsia" w:ascii="仿宋_GB2312" w:hAnsi="仿宋_GB2312" w:eastAsia="仿宋_GB2312" w:cs="仿宋_GB2312"/>
          <w:sz w:val="32"/>
          <w:szCs w:val="32"/>
        </w:rPr>
        <w:t>完善公共安全体系，健全风险防范化解机制。加强源头管控，推动公共安全治理模式向事前预防转型。统筹利用地上地下空间，加强“平急两用”公共基础设施建设，合理布局应急避难场所。</w:t>
      </w:r>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加强安全生产管理。</w:t>
      </w:r>
      <w:r>
        <w:rPr>
          <w:rFonts w:hint="eastAsia" w:ascii="仿宋_GB2312" w:hAnsi="仿宋_GB2312" w:eastAsia="仿宋_GB2312" w:cs="仿宋_GB2312"/>
          <w:sz w:val="32"/>
          <w:szCs w:val="32"/>
        </w:rPr>
        <w:t>落实“党政同责”“三管三必须”要求，严格落实部门监管责任和生产经营单位主体责任，防范遏制重特大事故。深化安全生产治本攻坚行动，严格高危行业领域建设项目安全审查，完善建设项目安全设施同时设计、同时施工、同时投入生产和使用制度，持续开展安全隐患大排查大整治，强化矿山等重点行业领域企业“一企一策”指导服务，严格落实重大事故隐患“双报告”制度，畅通事故隐患举报渠道。严格安全生产执法，加大重点行业领域安全生产执法力度，严厉打击非法生产经营行为。加强全民安全生产宣传教育，推动安全宣传“五进”。健全完善应急预案，有效防范和坚决遏制各类生产安全事故，为经济高质量发展铸牢坚实安全屏障。</w:t>
      </w:r>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加强食品药品安全监管。</w:t>
      </w:r>
      <w:r>
        <w:rPr>
          <w:rFonts w:hint="eastAsia" w:ascii="仿宋_GB2312" w:hAnsi="仿宋_GB2312" w:eastAsia="仿宋_GB2312" w:cs="仿宋_GB2312"/>
          <w:sz w:val="32"/>
          <w:szCs w:val="32"/>
        </w:rPr>
        <w:t>牢固树立以人民为中心的发展思想，全面加强食品药品安全监管，压实生产经营主体责任、部门监管责任和属地管理责任。健全食品药品安全全链条监管体系，聚焦生产、流通、消费等关键环节，深化专项治理和常态化监督检查，强化风险监测预警和隐患排查治理。严厉打击制售假冒伪劣食品药品等违法违规行为，强化从业人员教育培训，畅通社会监督渠道，构建政府监管、企业自律、社会共治的食品药品安全治理格局，切实保障人民群众食品药品安全。建立健全药品监管体系，推动药品监管能力标准化建设，严厉打击药品尤其是疫苗违法犯罪活动。</w:t>
      </w:r>
    </w:p>
    <w:p>
      <w:pPr>
        <w:spacing w:line="576" w:lineRule="exact"/>
        <w:ind w:firstLine="642" w:firstLineChars="200"/>
        <w:rPr>
          <w:rFonts w:ascii="仿宋_GB2312" w:hAnsi="仿宋_GB2312" w:eastAsia="仿宋_GB2312" w:cs="仿宋_GB2312"/>
          <w:b/>
          <w:sz w:val="32"/>
          <w:szCs w:val="32"/>
        </w:rPr>
      </w:pPr>
      <w:r>
        <w:rPr>
          <w:rFonts w:hint="eastAsia" w:ascii="楷体_GB2312" w:hAnsi="楷体" w:eastAsia="楷体_GB2312"/>
          <w:b/>
          <w:sz w:val="32"/>
          <w:szCs w:val="32"/>
        </w:rPr>
        <w:t>推进应急管理体系建设。</w:t>
      </w:r>
      <w:r>
        <w:rPr>
          <w:rFonts w:hint="eastAsia" w:ascii="仿宋_GB2312" w:hAnsi="仿宋_GB2312" w:eastAsia="仿宋_GB2312" w:cs="仿宋_GB2312"/>
          <w:sz w:val="32"/>
          <w:szCs w:val="32"/>
        </w:rPr>
        <w:t>建设安全风险监测预警体系和突发事件应急预案体系，提升气象观测服务保障水平，强化应急救援处置和防灾减灾能力。完善以气象灾害预警为先导的应急联动响应机制，提高森林防灭火气象保障水平。常态化开展自然灾害风险形势会商研判，建立直达基层的临灾预警“叫应”机制。加强专业救援力量建设，强化多灾种专业化训练，提高队伍极端条件下综合救援能力。推动组建基层应急救援队伍，建设微型应急救援站，发挥基干民兵应急排作用，提升基层隐患排查和救早救小的防范处置能力。补齐消防救援队伍能力建设短板，更新升级消防装备设施，保持公共消防设施完好有效，实施打通消防“生命通道”工程。改善城镇防灾基础条件，提高城镇重要建筑、基础设施系统防灾能力。健全应急物资保障体系，建立政府和社会、实物和产能相结合的应急物资储备模式，完善应急物资更新轮换机制。推动将安全素质教育纳入国民教育体系，建立公众安全科普宣教媒体绿色通道。</w:t>
      </w:r>
    </w:p>
    <w:p>
      <w:pPr>
        <w:pStyle w:val="12"/>
        <w:spacing w:before="0" w:after="0" w:line="576" w:lineRule="exact"/>
        <w:outlineLvl w:val="9"/>
        <w:rPr>
          <w:rFonts w:ascii="黑体" w:hAnsi="黑体" w:eastAsia="黑体"/>
          <w:b w:val="0"/>
          <w:bCs w:val="0"/>
        </w:rPr>
      </w:pPr>
      <w:bookmarkStart w:id="57" w:name="_Toc22885_WPSOffice_Level2"/>
      <w:bookmarkStart w:id="58" w:name="_Toc2398_WPSOffice_Level2"/>
      <w:r>
        <w:rPr>
          <w:rFonts w:hint="eastAsia" w:ascii="黑体" w:hAnsi="黑体" w:eastAsia="黑体"/>
          <w:b w:val="0"/>
          <w:bCs w:val="0"/>
        </w:rPr>
        <w:t>第五节  创新社会治理体制机制</w:t>
      </w:r>
      <w:bookmarkEnd w:id="57"/>
      <w:bookmarkEnd w:id="58"/>
    </w:p>
    <w:p>
      <w:pPr>
        <w:spacing w:line="576"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完善党委领导、政府负责、社会协同、公众参与、法治保障的社会治理体系，提升治理效能，保障人民安居乐业、社会安定有序。</w:t>
      </w:r>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优化社会治理方式。</w:t>
      </w:r>
      <w:r>
        <w:rPr>
          <w:rFonts w:hint="eastAsia" w:ascii="仿宋_GB2312" w:hAnsi="仿宋_GB2312" w:eastAsia="仿宋_GB2312" w:cs="仿宋_GB2312"/>
          <w:sz w:val="32"/>
          <w:szCs w:val="32"/>
        </w:rPr>
        <w:t>健全基层党组织领导的自治、法治、德治相结合的基层社会治理体系，提升基层治理能力，完善共建共治共享的社会治理格局。加快健全社会工作机制，构建社区与社会组织、社会工作者、社会志愿者、社会慈善资源的“五社联动”模式。加强党建引领基层治理和基层政权建设，全面实施乡镇（街道）履行职责事项清单。加强新经济组织、新社会组织、新就业群体党的建设。推进社会组织高质量发展。培育现代社区，建设社会工作专业人才队伍，打通服务群众“最后一公里”。</w:t>
      </w:r>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多元化解矛盾纠纷。</w:t>
      </w:r>
      <w:r>
        <w:rPr>
          <w:rFonts w:hint="eastAsia" w:ascii="仿宋_GB2312" w:hAnsi="仿宋_GB2312" w:eastAsia="仿宋_GB2312" w:cs="仿宋_GB2312"/>
          <w:sz w:val="32"/>
          <w:szCs w:val="32"/>
        </w:rPr>
        <w:t>健全矛盾风险防控协同、矛盾纠纷多元化解机制，发挥调解、仲裁、行政裁决、行政复议、诉讼等作用，规范化建设各级综治中心。健全“12345”热线投诉转办机制，提高投诉处置效能。坚持和发展新时代“枫桥经验”，发挥基层“微治理”体系作用，促进人民调解、行政调解、司法调解有机衔接，积极排查化解矛盾纠纷，推进实施根河市人民法院立案、信访、安检用房建设项目。加快推进信访工作法治化，巩固拓展信访代办制成果，及时回应解决信访诉求，有效化解信访积案，依法保护人民群众合法权益。</w:t>
      </w:r>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推进平安根河建设。</w:t>
      </w:r>
      <w:r>
        <w:rPr>
          <w:rFonts w:hint="eastAsia" w:ascii="仿宋_GB2312" w:hAnsi="仿宋_GB2312" w:eastAsia="仿宋_GB2312" w:cs="仿宋_GB2312"/>
          <w:sz w:val="32"/>
          <w:szCs w:val="32"/>
        </w:rPr>
        <w:t>加强社会治安防控体系和能力建设，加强对人员密集场所的治安管理，完善物防和技防设施配备。压实各级道路交通安全管理委员会及成员单位责任，开展交通安全大检查，严查严处“三超一疲劳、酒醉驾、强超强会”等违法行为。加强严重精神障碍患者、刑满释放人员、“三失一偏”人员服务管理，切实增强人民群众安全感。健全“林区”社会治安防控模式，健全扫黑除恶常态化机制。严格枪支弹药、管制器具、危爆物品等重点管控，依法严厉打击严重暴力犯罪、“盗抢骗”“黄赌毒”、电信网络诈骗、涉黑恶等群众关切的违法犯罪，全面净化社会治安环境。强化未成年人违法犯罪预防和治理。接续实施“雪亮工程”三年行动，推动“情指行”一体化运行机制改革，提升综合执法能力。</w:t>
      </w:r>
      <w:bookmarkStart w:id="59" w:name="_Toc11746_WPSOffice_Level1"/>
      <w:bookmarkStart w:id="60" w:name="_Toc207178058"/>
    </w:p>
    <w:p>
      <w:pPr>
        <w:pStyle w:val="12"/>
        <w:spacing w:before="0" w:after="0"/>
        <w:outlineLvl w:val="9"/>
        <w:rPr>
          <w:rFonts w:ascii="方正小标宋简体" w:hAnsi="黑体" w:eastAsia="方正小标宋简体"/>
          <w:b w:val="0"/>
          <w:sz w:val="36"/>
          <w:szCs w:val="36"/>
        </w:rPr>
      </w:pPr>
      <w:bookmarkStart w:id="61" w:name="_Toc29307_WPSOffice_Level1"/>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r>
        <w:rPr>
          <w:rFonts w:hint="eastAsia" w:ascii="方正小标宋简体" w:hAnsi="黑体" w:eastAsia="方正小标宋简体"/>
          <w:b w:val="0"/>
          <w:sz w:val="36"/>
          <w:szCs w:val="36"/>
        </w:rPr>
        <w:t>第六章  构建安全高效能源体系 提升能源保障能力</w:t>
      </w:r>
      <w:bookmarkEnd w:id="59"/>
      <w:bookmarkEnd w:id="61"/>
    </w:p>
    <w:p>
      <w:pPr>
        <w:spacing w:line="576" w:lineRule="exact"/>
        <w:ind w:firstLine="640" w:firstLineChars="200"/>
        <w:rPr>
          <w:rFonts w:ascii="仿宋_GB2312" w:eastAsia="仿宋_GB2312"/>
          <w:sz w:val="32"/>
          <w:szCs w:val="32"/>
        </w:rPr>
      </w:pPr>
    </w:p>
    <w:p>
      <w:pPr>
        <w:spacing w:line="576" w:lineRule="exact"/>
        <w:ind w:firstLine="640" w:firstLineChars="200"/>
        <w:rPr>
          <w:rFonts w:ascii="仿宋_GB2312" w:eastAsia="仿宋_GB2312"/>
          <w:sz w:val="32"/>
          <w:szCs w:val="32"/>
        </w:rPr>
      </w:pPr>
      <w:r>
        <w:rPr>
          <w:rFonts w:hint="eastAsia" w:ascii="仿宋_GB2312" w:eastAsia="仿宋_GB2312"/>
          <w:sz w:val="32"/>
          <w:szCs w:val="32"/>
        </w:rPr>
        <w:t>坚持清洁低碳、安全高效的总方针和“四个革命、一个合作”的总方向，建设新型能源体系，增强能源供应稳定、安全、可持续性。</w:t>
      </w:r>
    </w:p>
    <w:p>
      <w:pPr>
        <w:pStyle w:val="12"/>
        <w:spacing w:before="0" w:after="0" w:line="576" w:lineRule="exact"/>
        <w:outlineLvl w:val="9"/>
        <w:rPr>
          <w:rFonts w:ascii="黑体" w:hAnsi="黑体" w:eastAsia="黑体"/>
          <w:b w:val="0"/>
          <w:bCs w:val="0"/>
        </w:rPr>
      </w:pPr>
      <w:bookmarkStart w:id="62" w:name="_Toc13590_WPSOffice_Level2"/>
      <w:bookmarkStart w:id="63" w:name="_Toc4067_WPSOffice_Level1"/>
      <w:r>
        <w:rPr>
          <w:rFonts w:hint="eastAsia" w:ascii="黑体" w:hAnsi="黑体" w:eastAsia="黑体"/>
          <w:b w:val="0"/>
          <w:bCs w:val="0"/>
        </w:rPr>
        <w:t>第一节  强化煤电兜底保障作用</w:t>
      </w:r>
      <w:bookmarkEnd w:id="62"/>
      <w:bookmarkEnd w:id="63"/>
    </w:p>
    <w:p>
      <w:pPr>
        <w:spacing w:line="576" w:lineRule="exact"/>
        <w:ind w:firstLine="640" w:firstLineChars="200"/>
        <w:rPr>
          <w:rFonts w:ascii="仿宋_GB2312" w:eastAsia="仿宋_GB2312"/>
          <w:sz w:val="32"/>
          <w:szCs w:val="32"/>
        </w:rPr>
      </w:pPr>
      <w:r>
        <w:rPr>
          <w:rFonts w:hint="eastAsia" w:ascii="仿宋_GB2312" w:eastAsia="仿宋_GB2312"/>
          <w:sz w:val="32"/>
          <w:szCs w:val="32"/>
        </w:rPr>
        <w:t>统筹电力系统安全、民生供热保障等需要，科学安排保障电力供应安全的支撑性电源项目。加强传统燃煤电厂绿色低碳转型建设，实施好热源替代工程，新建2台91MW循环流化床高温热水锅炉，同步建设脱硫、脱硝设施，实现大气污染物超低排放标准，推进煤炭清洁高效利用。大力推动煤电节能降碳改造，有计划地淘汰落后燃煤机组，推广热电联产改造和工业余热余压综合利用。</w:t>
      </w:r>
    </w:p>
    <w:p>
      <w:pPr>
        <w:pStyle w:val="12"/>
        <w:spacing w:before="0" w:after="0" w:line="576" w:lineRule="exact"/>
        <w:outlineLvl w:val="9"/>
        <w:rPr>
          <w:rFonts w:ascii="黑体" w:hAnsi="黑体" w:eastAsia="黑体"/>
          <w:b w:val="0"/>
          <w:bCs w:val="0"/>
        </w:rPr>
      </w:pPr>
      <w:bookmarkStart w:id="64" w:name="_Toc26746_WPSOffice_Level2"/>
      <w:bookmarkStart w:id="65" w:name="_Toc25322_WPSOffice_Level1"/>
      <w:r>
        <w:rPr>
          <w:rFonts w:hint="eastAsia" w:ascii="黑体" w:hAnsi="黑体" w:eastAsia="黑体"/>
          <w:b w:val="0"/>
          <w:bCs w:val="0"/>
        </w:rPr>
        <w:t>第二节  构建现代新型电力系统</w:t>
      </w:r>
      <w:bookmarkEnd w:id="64"/>
      <w:bookmarkEnd w:id="65"/>
    </w:p>
    <w:p>
      <w:pPr>
        <w:spacing w:line="576" w:lineRule="exact"/>
        <w:ind w:firstLine="640" w:firstLineChars="200"/>
        <w:rPr>
          <w:rFonts w:ascii="仿宋_GB2312" w:eastAsia="仿宋_GB2312"/>
          <w:sz w:val="32"/>
          <w:szCs w:val="32"/>
        </w:rPr>
      </w:pPr>
      <w:r>
        <w:rPr>
          <w:rFonts w:hint="eastAsia" w:ascii="仿宋_GB2312" w:eastAsia="仿宋_GB2312"/>
          <w:sz w:val="32"/>
          <w:szCs w:val="32"/>
        </w:rPr>
        <w:t>加快升级市内骨干电网网架，推动建设一批电网工程项目，推动超高压网架向电网末端延伸。加快电力系统数字化升级和新型电力系统建设迭代发展，增强电力系统资源优化配置能力。建设新增供热配套输电线路，推进应急保障电源建设，提升极端情况下电力应急保障能力。</w:t>
      </w:r>
    </w:p>
    <w:p>
      <w:pPr>
        <w:pStyle w:val="12"/>
        <w:spacing w:before="0" w:after="0" w:line="576" w:lineRule="exact"/>
        <w:outlineLvl w:val="9"/>
        <w:rPr>
          <w:rFonts w:ascii="黑体" w:hAnsi="黑体" w:eastAsia="黑体"/>
          <w:b w:val="0"/>
          <w:bCs w:val="0"/>
        </w:rPr>
      </w:pPr>
      <w:bookmarkStart w:id="66" w:name="_Toc9177_WPSOffice_Level2"/>
      <w:bookmarkStart w:id="67" w:name="_Toc24994_WPSOffice_Level1"/>
      <w:r>
        <w:rPr>
          <w:rFonts w:hint="eastAsia" w:ascii="黑体" w:hAnsi="黑体" w:eastAsia="黑体"/>
          <w:b w:val="0"/>
          <w:bCs w:val="0"/>
        </w:rPr>
        <w:t>第三节  加快新能源产业提升发展</w:t>
      </w:r>
      <w:bookmarkEnd w:id="66"/>
      <w:bookmarkEnd w:id="67"/>
    </w:p>
    <w:p>
      <w:pPr>
        <w:spacing w:line="576" w:lineRule="exact"/>
        <w:ind w:firstLine="640" w:firstLineChars="200"/>
        <w:rPr>
          <w:rFonts w:ascii="仿宋_GB2312" w:eastAsia="仿宋_GB2312"/>
          <w:sz w:val="32"/>
          <w:szCs w:val="32"/>
        </w:rPr>
      </w:pPr>
      <w:r>
        <w:rPr>
          <w:rFonts w:hint="eastAsia" w:ascii="仿宋_GB2312" w:eastAsia="仿宋_GB2312"/>
          <w:sz w:val="32"/>
          <w:szCs w:val="32"/>
        </w:rPr>
        <w:t>坚持集中和分布开发并重、自用和外送消纳并举，推进新能源开发利用。在具备条件的工业企业加快发展分布式光伏、分散式风电等能源项目，加快新能源发电自发自用和就地消纳。</w:t>
      </w:r>
    </w:p>
    <w:p>
      <w:pPr>
        <w:pStyle w:val="12"/>
        <w:spacing w:before="0" w:after="0"/>
        <w:outlineLvl w:val="9"/>
        <w:rPr>
          <w:rFonts w:ascii="方正小标宋简体" w:hAnsi="黑体" w:eastAsia="方正小标宋简体"/>
          <w:b w:val="0"/>
          <w:sz w:val="36"/>
          <w:szCs w:val="36"/>
        </w:rPr>
      </w:pPr>
      <w:bookmarkStart w:id="68" w:name="_Toc7168_WPSOffice_Level1"/>
      <w:bookmarkStart w:id="69" w:name="_Toc28754_WPSOffice_Level1"/>
      <w:r>
        <w:rPr>
          <w:rFonts w:hint="eastAsia" w:ascii="方正小标宋简体" w:hAnsi="黑体" w:eastAsia="方正小标宋简体"/>
          <w:b w:val="0"/>
          <w:sz w:val="36"/>
          <w:szCs w:val="36"/>
        </w:rPr>
        <w:t>第七章  扎实推进农牧业提质增效发展</w:t>
      </w:r>
      <w:bookmarkEnd w:id="68"/>
      <w:bookmarkStart w:id="70" w:name="_Toc12171_WPSOffice_Level1"/>
    </w:p>
    <w:p>
      <w:pPr>
        <w:pStyle w:val="12"/>
        <w:spacing w:before="0" w:after="0"/>
        <w:outlineLvl w:val="9"/>
        <w:rPr>
          <w:rFonts w:ascii="方正小标宋简体" w:hAnsi="黑体" w:eastAsia="方正小标宋简体"/>
          <w:b w:val="0"/>
          <w:sz w:val="36"/>
          <w:szCs w:val="36"/>
        </w:rPr>
      </w:pPr>
      <w:r>
        <w:rPr>
          <w:rFonts w:hint="eastAsia" w:ascii="方正小标宋简体" w:hAnsi="黑体" w:eastAsia="方正小标宋简体"/>
          <w:b w:val="0"/>
          <w:sz w:val="36"/>
          <w:szCs w:val="36"/>
        </w:rPr>
        <w:t>扩大特色优质农畜林产品</w:t>
      </w:r>
      <w:bookmarkEnd w:id="70"/>
      <w:r>
        <w:rPr>
          <w:rFonts w:hint="eastAsia" w:ascii="方正小标宋简体" w:hAnsi="黑体" w:eastAsia="方正小标宋简体"/>
          <w:b w:val="0"/>
          <w:sz w:val="36"/>
          <w:szCs w:val="36"/>
        </w:rPr>
        <w:t>供给</w:t>
      </w:r>
      <w:bookmarkEnd w:id="69"/>
    </w:p>
    <w:p>
      <w:pPr>
        <w:spacing w:line="576" w:lineRule="exact"/>
        <w:ind w:firstLine="640" w:firstLineChars="200"/>
        <w:rPr>
          <w:rFonts w:ascii="仿宋_GB2312" w:eastAsia="仿宋_GB2312"/>
          <w:sz w:val="32"/>
          <w:szCs w:val="32"/>
        </w:rPr>
      </w:pPr>
    </w:p>
    <w:p>
      <w:pPr>
        <w:spacing w:line="576" w:lineRule="exact"/>
        <w:ind w:firstLine="640" w:firstLineChars="200"/>
        <w:rPr>
          <w:rFonts w:ascii="仿宋_GB2312" w:eastAsia="仿宋_GB2312"/>
          <w:sz w:val="32"/>
          <w:szCs w:val="32"/>
        </w:rPr>
      </w:pPr>
      <w:r>
        <w:rPr>
          <w:rFonts w:hint="eastAsia" w:ascii="仿宋_GB2312" w:eastAsia="仿宋_GB2312"/>
          <w:sz w:val="32"/>
          <w:szCs w:val="32"/>
        </w:rPr>
        <w:t>以打造大兴安岭绿色有机农畜林产品供给区为目标，坚持质量提升、品牌培育，推动农牧业向规模化、标准化、品牌化转型，实现增量增质发展。</w:t>
      </w:r>
    </w:p>
    <w:p>
      <w:pPr>
        <w:pStyle w:val="12"/>
        <w:spacing w:before="0" w:after="0" w:line="576" w:lineRule="exact"/>
        <w:outlineLvl w:val="9"/>
        <w:rPr>
          <w:rFonts w:ascii="黑体" w:hAnsi="黑体" w:eastAsia="黑体"/>
          <w:b w:val="0"/>
          <w:bCs w:val="0"/>
        </w:rPr>
      </w:pPr>
      <w:bookmarkStart w:id="71" w:name="_Toc32602_WPSOffice_Level2"/>
      <w:bookmarkStart w:id="72" w:name="_Toc17805_WPSOffice_Level2"/>
      <w:r>
        <w:rPr>
          <w:rFonts w:hint="eastAsia" w:ascii="黑体" w:hAnsi="黑体" w:eastAsia="黑体"/>
          <w:b w:val="0"/>
          <w:bCs w:val="0"/>
        </w:rPr>
        <w:t>第一节  夯实农牧业发展基础</w:t>
      </w:r>
      <w:bookmarkEnd w:id="71"/>
      <w:bookmarkEnd w:id="72"/>
    </w:p>
    <w:p>
      <w:pPr>
        <w:spacing w:line="576" w:lineRule="exact"/>
        <w:ind w:firstLine="640" w:firstLineChars="200"/>
        <w:rPr>
          <w:rFonts w:ascii="仿宋_GB2312" w:eastAsia="仿宋_GB2312"/>
          <w:sz w:val="32"/>
          <w:szCs w:val="32"/>
        </w:rPr>
      </w:pPr>
      <w:r>
        <w:rPr>
          <w:rFonts w:hint="eastAsia" w:ascii="仿宋_GB2312" w:eastAsia="仿宋_GB2312"/>
          <w:sz w:val="32"/>
          <w:szCs w:val="32"/>
        </w:rPr>
        <w:t>落实耕地保护任务，严守耕地保护红线，坚决遏制耕地“非农化”，防止耕地“非粮化”，健全耕地数量、质量、生态“三位一体”保护制度体系，规范耕地占补平衡。改良全市一般耕地种植布局，优化作物配置，完成小麦、油菜播种任务和粮食总产量指标。完成下达的肉类生产指标任务，加大动物疫病防控工作力度，健全动物防疫体系，实现重大动物疫病零发生，确保畜牧业生产安全、动物源性食品安全，实现农牧业高质量发展。</w:t>
      </w:r>
    </w:p>
    <w:p>
      <w:pPr>
        <w:pStyle w:val="12"/>
        <w:spacing w:before="0" w:after="0" w:line="576" w:lineRule="exact"/>
        <w:outlineLvl w:val="9"/>
        <w:rPr>
          <w:rFonts w:ascii="黑体" w:hAnsi="黑体" w:eastAsia="黑体"/>
          <w:b w:val="0"/>
          <w:bCs w:val="0"/>
        </w:rPr>
      </w:pPr>
      <w:bookmarkStart w:id="73" w:name="_Toc2350_WPSOffice_Level2"/>
      <w:bookmarkStart w:id="74" w:name="_Toc10158_WPSOffice_Level2"/>
      <w:r>
        <w:rPr>
          <w:rFonts w:hint="eastAsia" w:ascii="黑体" w:hAnsi="黑体" w:eastAsia="黑体"/>
          <w:b w:val="0"/>
          <w:bCs w:val="0"/>
        </w:rPr>
        <w:t>第二节  优化特色养殖业</w:t>
      </w:r>
      <w:bookmarkEnd w:id="73"/>
      <w:bookmarkEnd w:id="74"/>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推进冷水鱼养殖业绿色发展。</w:t>
      </w:r>
      <w:r>
        <w:rPr>
          <w:rFonts w:hint="eastAsia" w:ascii="仿宋_GB2312" w:eastAsia="仿宋_GB2312"/>
          <w:sz w:val="32"/>
          <w:szCs w:val="32"/>
        </w:rPr>
        <w:t>坚持绿色发展理念，依托域内水系优质水资源优势，深入挖掘冷水鱼养殖产业发展空间，打造“中国冷极</w:t>
      </w:r>
      <w:r>
        <w:rPr>
          <w:rFonts w:hint="eastAsia" w:ascii="MS Mincho" w:hAnsi="MS Mincho" w:eastAsia="MS Mincho" w:cs="MS Mincho"/>
          <w:sz w:val="32"/>
          <w:szCs w:val="32"/>
        </w:rPr>
        <w:t>・</w:t>
      </w:r>
      <w:r>
        <w:rPr>
          <w:rFonts w:hint="eastAsia" w:ascii="仿宋_GB2312" w:eastAsia="仿宋_GB2312"/>
          <w:sz w:val="32"/>
          <w:szCs w:val="32"/>
        </w:rPr>
        <w:t>纯净好鱼”品牌。优化产业布局与品种结构，科学划定养殖区域，在好里堡、乌力库玛等资源优势区域建设冷水鱼养殖产业带。加强基础设施建设，改造升级养殖池塘、老旧河道，完善进排水、增氧等配套设施，建立完善的冷水鱼养殖技术研发队伍和研发平台，巩固细鳞鱼、哲罗鱼等特色品种养殖，适度引进优质品种，推广冷水鱼养殖关键技术，加强品种选育改良，丰富市场供给，重点推进冷水鱼养殖技术研究基地、冷水鱼循环水种源基地等项目建设。将冷水鱼养殖生产与生态农业、鱼菜共生、蔬菜花卉果林种植等相结合，打造绿色、生态、循环为一体的冷水鱼养殖综合农业示范区。深化渔业与休闲康养等产业融合发展，探索发展“养殖观光、渔业展示、餐饮体验、饮食康养”等多元化旅游业态。</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做强驯鹿养殖产业。</w:t>
      </w:r>
      <w:r>
        <w:rPr>
          <w:rFonts w:hint="eastAsia" w:ascii="仿宋_GB2312" w:eastAsia="仿宋_GB2312"/>
          <w:sz w:val="32"/>
          <w:szCs w:val="32"/>
        </w:rPr>
        <w:t>实施驯鹿保种繁育工程，完善驯鹿养殖技术标准，推广科学养殖模式，提高驯鹿存活率和产茸量。延伸驯鹿产业链，开发驯鹿肉、驯鹿茸等深加工产品，打造驯鹿文化衍生品，提升附加值。与文旅产业深度融合，发展家庭游、特色民宿、体验观光等经营模式。</w:t>
      </w:r>
    </w:p>
    <w:p>
      <w:pPr>
        <w:pStyle w:val="12"/>
        <w:spacing w:before="0" w:after="0" w:line="576" w:lineRule="exact"/>
        <w:outlineLvl w:val="9"/>
        <w:rPr>
          <w:rFonts w:ascii="黑体" w:hAnsi="黑体" w:eastAsia="黑体"/>
          <w:b w:val="0"/>
          <w:bCs w:val="0"/>
        </w:rPr>
      </w:pPr>
      <w:bookmarkStart w:id="75" w:name="_Toc30601_WPSOffice_Level2"/>
      <w:bookmarkStart w:id="76" w:name="_Toc9089_WPSOffice_Level2"/>
      <w:r>
        <w:rPr>
          <w:rFonts w:hint="eastAsia" w:ascii="黑体" w:hAnsi="黑体" w:eastAsia="黑体"/>
          <w:b w:val="0"/>
          <w:bCs w:val="0"/>
        </w:rPr>
        <w:t>第三节  壮大特色种植业</w:t>
      </w:r>
      <w:bookmarkEnd w:id="75"/>
      <w:bookmarkEnd w:id="76"/>
    </w:p>
    <w:p>
      <w:pPr>
        <w:spacing w:line="576" w:lineRule="exact"/>
        <w:ind w:firstLine="640" w:firstLineChars="200"/>
        <w:rPr>
          <w:rFonts w:ascii="仿宋_GB2312" w:eastAsia="仿宋_GB2312"/>
          <w:sz w:val="32"/>
          <w:szCs w:val="32"/>
        </w:rPr>
      </w:pPr>
      <w:r>
        <w:rPr>
          <w:rFonts w:hint="eastAsia" w:ascii="仿宋_GB2312" w:eastAsia="仿宋_GB2312"/>
          <w:sz w:val="32"/>
          <w:szCs w:val="32"/>
        </w:rPr>
        <w:t>依托大兴安岭绿水青山自然环境，大力发展有机绿色农牧业，推动农牧业创新提质。在稳定发展粮食生产的基础上，支持发展黑木耳、冷极灵芝、“兴安一号”蓝莓、芍药、羊肚菌、中草药等特色优质农产林产种植。加强与中国农业科学院特产研究所等科研单位合作，探索组建林下种植技术服务团队，推广赤芝、蓝靛果忍冬等优良品种。到2030年，力争建设标准化种植基地3万亩，培育规模化种植企业5家以上，发展种植专业合作社15家以上，认证绿色、有机、地标农产品2个以上。</w:t>
      </w:r>
    </w:p>
    <w:p>
      <w:pPr>
        <w:pStyle w:val="12"/>
        <w:spacing w:before="0" w:after="0" w:line="576" w:lineRule="exact"/>
        <w:outlineLvl w:val="9"/>
        <w:rPr>
          <w:rFonts w:ascii="黑体" w:hAnsi="黑体" w:eastAsia="黑体"/>
          <w:b w:val="0"/>
          <w:bCs w:val="0"/>
        </w:rPr>
      </w:pPr>
      <w:bookmarkStart w:id="77" w:name="_Toc8591_WPSOffice_Level2"/>
      <w:bookmarkStart w:id="78" w:name="_Toc19491_WPSOffice_Level2"/>
      <w:r>
        <w:rPr>
          <w:rFonts w:hint="eastAsia" w:ascii="黑体" w:hAnsi="黑体" w:eastAsia="黑体"/>
          <w:b w:val="0"/>
          <w:bCs w:val="0"/>
        </w:rPr>
        <w:t>第四节  推动特色林下资源加工转化</w:t>
      </w:r>
      <w:bookmarkEnd w:id="77"/>
      <w:bookmarkEnd w:id="78"/>
    </w:p>
    <w:p>
      <w:pPr>
        <w:spacing w:line="576" w:lineRule="exact"/>
        <w:ind w:firstLine="640" w:firstLineChars="200"/>
        <w:rPr>
          <w:rFonts w:ascii="仿宋_GB2312" w:eastAsia="仿宋_GB2312"/>
          <w:sz w:val="32"/>
          <w:szCs w:val="32"/>
        </w:rPr>
      </w:pPr>
      <w:r>
        <w:rPr>
          <w:rFonts w:hint="eastAsia" w:ascii="仿宋_GB2312" w:eastAsia="仿宋_GB2312"/>
          <w:sz w:val="32"/>
          <w:szCs w:val="32"/>
        </w:rPr>
        <w:t>依托丰富的林下资源和天然禀赋优势，围绕蓝莓、灵芝、矿（山）泉水等特色资源，重点研发野生浆果系列干果、饮品，打造独具特色的高端野生浆果地域品牌。研究开发水资源，稳步扩大生产规模。引导现有企业推进规模化、集约化、标准化生产经营，强化“天然、绿色、有机”品牌优势，提升产业市场竞争力。</w:t>
      </w:r>
    </w:p>
    <w:p>
      <w:pPr>
        <w:spacing w:line="300" w:lineRule="exact"/>
        <w:ind w:firstLine="640" w:firstLineChars="200"/>
        <w:rPr>
          <w:rFonts w:ascii="仿宋_GB2312" w:eastAsia="仿宋_GB2312"/>
          <w:sz w:val="32"/>
          <w:szCs w:val="32"/>
        </w:rPr>
      </w:pPr>
    </w:p>
    <w:tbl>
      <w:tblPr>
        <w:tblStyle w:val="31"/>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trPr>
        <w:tc>
          <w:tcPr>
            <w:tcW w:w="9060" w:type="dxa"/>
            <w:vAlign w:val="center"/>
          </w:tcPr>
          <w:p>
            <w:pPr>
              <w:spacing w:line="0" w:lineRule="atLeast"/>
              <w:jc w:val="center"/>
              <w:rPr>
                <w:rFonts w:ascii="黑体" w:hAnsi="黑体" w:eastAsia="黑体" w:cs="仿宋_GB2312"/>
                <w:sz w:val="28"/>
                <w:szCs w:val="28"/>
              </w:rPr>
            </w:pPr>
            <w:r>
              <w:rPr>
                <w:rFonts w:hint="eastAsia" w:ascii="黑体" w:hAnsi="黑体" w:eastAsia="黑体" w:cs="仿宋_GB2312"/>
                <w:sz w:val="28"/>
                <w:szCs w:val="28"/>
              </w:rPr>
              <w:t>专栏4“十五五”林下资源开发和渔业发展重点项目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9060" w:type="dxa"/>
          </w:tcPr>
          <w:p>
            <w:pPr>
              <w:spacing w:line="480" w:lineRule="exact"/>
              <w:rPr>
                <w:rFonts w:cs="仿宋_GB2312" w:asciiTheme="minorEastAsia" w:hAnsiTheme="minorEastAsia" w:eastAsiaTheme="minorEastAsia"/>
                <w:sz w:val="24"/>
                <w:szCs w:val="24"/>
              </w:rPr>
            </w:pPr>
            <w:r>
              <w:rPr>
                <w:rFonts w:hint="eastAsia" w:cs="仿宋_GB2312" w:asciiTheme="minorEastAsia" w:hAnsiTheme="minorEastAsia" w:eastAsiaTheme="minorEastAsia"/>
                <w:b/>
                <w:sz w:val="24"/>
                <w:szCs w:val="24"/>
              </w:rPr>
              <w:t>1.林下资源开发：</w:t>
            </w:r>
            <w:r>
              <w:rPr>
                <w:rFonts w:hint="eastAsia" w:cs="仿宋_GB2312" w:asciiTheme="minorEastAsia" w:hAnsiTheme="minorEastAsia" w:eastAsiaTheme="minorEastAsia"/>
                <w:sz w:val="24"/>
                <w:szCs w:val="24"/>
              </w:rPr>
              <w:t>重点实施蓝莓红豆果汁暨蓝莓酒类生产，松籽、野果加工，林下中药材生产加工，矿泉水、天然水生产等林下资源、绿色产品精深加工项目。</w:t>
            </w:r>
          </w:p>
          <w:p>
            <w:pPr>
              <w:spacing w:line="480" w:lineRule="exact"/>
              <w:rPr>
                <w:rFonts w:ascii="仿宋_GB2312" w:hAnsi="仿宋_GB2312" w:eastAsia="仿宋_GB2312" w:cs="仿宋_GB2312"/>
                <w:sz w:val="32"/>
                <w:szCs w:val="32"/>
              </w:rPr>
            </w:pPr>
            <w:r>
              <w:rPr>
                <w:rFonts w:hint="eastAsia" w:cs="仿宋_GB2312" w:asciiTheme="minorEastAsia" w:hAnsiTheme="minorEastAsia" w:eastAsiaTheme="minorEastAsia"/>
                <w:b/>
                <w:sz w:val="24"/>
                <w:szCs w:val="24"/>
              </w:rPr>
              <w:t>2.渔业发展：</w:t>
            </w:r>
            <w:r>
              <w:rPr>
                <w:rFonts w:hint="eastAsia" w:cs="仿宋_GB2312" w:asciiTheme="minorEastAsia" w:hAnsiTheme="minorEastAsia" w:eastAsiaTheme="minorEastAsia"/>
                <w:sz w:val="24"/>
                <w:szCs w:val="24"/>
              </w:rPr>
              <w:t>重点推进冷水鱼养殖技术研究基地、冷水鱼循环水种源基地等项目。</w:t>
            </w:r>
          </w:p>
        </w:tc>
      </w:tr>
    </w:tbl>
    <w:p>
      <w:pPr>
        <w:pStyle w:val="12"/>
        <w:spacing w:before="0" w:after="0" w:line="576" w:lineRule="exact"/>
        <w:outlineLvl w:val="9"/>
        <w:rPr>
          <w:rFonts w:ascii="黑体" w:hAnsi="黑体" w:eastAsia="黑体"/>
          <w:b w:val="0"/>
          <w:bCs w:val="0"/>
        </w:rPr>
      </w:pPr>
      <w:bookmarkStart w:id="79" w:name="_Toc26052_WPSOffice_Level2"/>
      <w:bookmarkStart w:id="80" w:name="_Toc2625_WPSOffice_Level2"/>
      <w:r>
        <w:rPr>
          <w:rFonts w:hint="eastAsia" w:ascii="黑体" w:hAnsi="黑体" w:eastAsia="黑体"/>
          <w:b w:val="0"/>
          <w:bCs w:val="0"/>
        </w:rPr>
        <w:t xml:space="preserve">第五节 </w:t>
      </w:r>
      <w:bookmarkEnd w:id="79"/>
      <w:r>
        <w:rPr>
          <w:rFonts w:hint="eastAsia" w:ascii="黑体" w:hAnsi="黑体" w:eastAsia="黑体"/>
          <w:b w:val="0"/>
          <w:bCs w:val="0"/>
        </w:rPr>
        <w:t xml:space="preserve"> 提升产品质量和市场营销能力</w:t>
      </w:r>
      <w:bookmarkEnd w:id="80"/>
    </w:p>
    <w:p>
      <w:pPr>
        <w:spacing w:line="576" w:lineRule="exact"/>
        <w:ind w:firstLine="660"/>
        <w:rPr>
          <w:rFonts w:ascii="仿宋_GB2312" w:eastAsia="仿宋_GB2312"/>
          <w:sz w:val="32"/>
          <w:szCs w:val="32"/>
        </w:rPr>
      </w:pPr>
      <w:r>
        <w:rPr>
          <w:rFonts w:hint="eastAsia" w:ascii="仿宋_GB2312" w:eastAsia="仿宋_GB2312"/>
          <w:sz w:val="32"/>
          <w:szCs w:val="32"/>
        </w:rPr>
        <w:t>加强质量监管，建立农畜林产品质量追溯体系，力争实现“从产地到餐桌”全程可追溯。加强商贸流通体系建设，完善</w:t>
      </w:r>
      <w:r>
        <w:rPr>
          <w:rFonts w:ascii="仿宋_GB2312" w:eastAsia="仿宋_GB2312"/>
          <w:sz w:val="32"/>
          <w:szCs w:val="32"/>
        </w:rPr>
        <w:t>“</w:t>
      </w:r>
      <w:r>
        <w:rPr>
          <w:rFonts w:hint="eastAsia" w:ascii="仿宋_GB2312" w:eastAsia="仿宋_GB2312"/>
          <w:sz w:val="32"/>
          <w:szCs w:val="32"/>
        </w:rPr>
        <w:t>线上</w:t>
      </w:r>
      <w:r>
        <w:rPr>
          <w:rFonts w:ascii="仿宋_GB2312" w:eastAsia="仿宋_GB2312"/>
          <w:sz w:val="32"/>
          <w:szCs w:val="32"/>
        </w:rPr>
        <w:t>+</w:t>
      </w:r>
      <w:r>
        <w:rPr>
          <w:rFonts w:hint="eastAsia" w:ascii="仿宋_GB2312" w:eastAsia="仿宋_GB2312"/>
          <w:sz w:val="32"/>
          <w:szCs w:val="32"/>
        </w:rPr>
        <w:t>线下”营销网络，升级</w:t>
      </w:r>
      <w:r>
        <w:rPr>
          <w:rFonts w:ascii="仿宋_GB2312" w:eastAsia="仿宋_GB2312"/>
          <w:sz w:val="32"/>
          <w:szCs w:val="32"/>
        </w:rPr>
        <w:t xml:space="preserve"> “</w:t>
      </w:r>
      <w:r>
        <w:rPr>
          <w:rFonts w:hint="eastAsia" w:ascii="仿宋_GB2312" w:eastAsia="仿宋_GB2312"/>
          <w:sz w:val="32"/>
          <w:szCs w:val="32"/>
        </w:rPr>
        <w:t>京东</w:t>
      </w:r>
      <w:r>
        <w:rPr>
          <w:rFonts w:hint="eastAsia" w:ascii="MS Mincho" w:hAnsi="MS Mincho" w:eastAsia="MS Mincho" w:cs="MS Mincho"/>
          <w:sz w:val="32"/>
          <w:szCs w:val="32"/>
        </w:rPr>
        <w:t>・</w:t>
      </w:r>
      <w:r>
        <w:rPr>
          <w:rFonts w:hint="eastAsia" w:ascii="仿宋_GB2312" w:eastAsia="仿宋_GB2312"/>
          <w:sz w:val="32"/>
          <w:szCs w:val="32"/>
        </w:rPr>
        <w:t>中国特产</w:t>
      </w:r>
      <w:r>
        <w:rPr>
          <w:rFonts w:hint="eastAsia" w:ascii="MS Mincho" w:hAnsi="MS Mincho" w:eastAsia="MS Mincho" w:cs="MS Mincho"/>
          <w:sz w:val="32"/>
          <w:szCs w:val="32"/>
        </w:rPr>
        <w:t>・</w:t>
      </w:r>
      <w:r>
        <w:rPr>
          <w:rFonts w:hint="eastAsia" w:ascii="仿宋_GB2312" w:eastAsia="仿宋_GB2312"/>
          <w:sz w:val="32"/>
          <w:szCs w:val="32"/>
        </w:rPr>
        <w:t>根河馆”“敖鲁古雅云平台”，拓展电商渠道，整合</w:t>
      </w:r>
      <w:r>
        <w:rPr>
          <w:rFonts w:ascii="仿宋_GB2312" w:eastAsia="仿宋_GB2312"/>
          <w:sz w:val="32"/>
          <w:szCs w:val="32"/>
        </w:rPr>
        <w:t>“</w:t>
      </w:r>
      <w:r>
        <w:rPr>
          <w:rFonts w:hint="eastAsia" w:ascii="仿宋_GB2312" w:eastAsia="仿宋_GB2312"/>
          <w:sz w:val="32"/>
          <w:szCs w:val="32"/>
        </w:rPr>
        <w:t>根河灵芝”“敖鲁古雅驯鹿”等品牌资源，积极融入“呼伦贝尔大草原”区域公用品牌体系，加快“根河灵芝”地理标志登记工作，持续扩大根河品牌知名度。</w:t>
      </w:r>
    </w:p>
    <w:p>
      <w:pPr>
        <w:pStyle w:val="12"/>
        <w:spacing w:before="0" w:after="0"/>
        <w:outlineLvl w:val="9"/>
        <w:rPr>
          <w:rFonts w:ascii="方正小标宋简体" w:hAnsi="黑体" w:eastAsia="方正小标宋简体"/>
          <w:b w:val="0"/>
          <w:sz w:val="36"/>
          <w:szCs w:val="36"/>
        </w:rPr>
      </w:pPr>
      <w:bookmarkStart w:id="81" w:name="_Toc14955_WPSOffice_Level1"/>
      <w:bookmarkStart w:id="82" w:name="_Toc22332_WPSOffice_Level1"/>
    </w:p>
    <w:p/>
    <w:p/>
    <w:p/>
    <w:p/>
    <w:p/>
    <w:p/>
    <w:p/>
    <w:p/>
    <w:p/>
    <w:p/>
    <w:p/>
    <w:p>
      <w:pPr>
        <w:pStyle w:val="12"/>
        <w:numPr>
          <w:ilvl w:val="0"/>
          <w:numId w:val="1"/>
        </w:numPr>
        <w:spacing w:before="0" w:after="0"/>
        <w:outlineLvl w:val="9"/>
        <w:rPr>
          <w:rFonts w:ascii="方正小标宋简体" w:hAnsi="黑体" w:eastAsia="方正小标宋简体"/>
          <w:b w:val="0"/>
          <w:sz w:val="36"/>
          <w:szCs w:val="36"/>
        </w:rPr>
      </w:pPr>
      <w:r>
        <w:rPr>
          <w:rFonts w:hint="eastAsia" w:ascii="方正小标宋简体" w:hAnsi="黑体" w:eastAsia="方正小标宋简体"/>
          <w:b w:val="0"/>
          <w:sz w:val="36"/>
          <w:szCs w:val="36"/>
        </w:rPr>
        <w:t xml:space="preserve"> 提升开放水平 协同融入国家向北开放</w:t>
      </w:r>
    </w:p>
    <w:p>
      <w:pPr>
        <w:pStyle w:val="12"/>
        <w:spacing w:before="0" w:after="0"/>
        <w:outlineLvl w:val="9"/>
        <w:rPr>
          <w:rFonts w:ascii="方正小标宋简体" w:hAnsi="黑体" w:eastAsia="方正小标宋简体"/>
          <w:b w:val="0"/>
          <w:sz w:val="36"/>
          <w:szCs w:val="36"/>
        </w:rPr>
      </w:pPr>
      <w:r>
        <w:rPr>
          <w:rFonts w:hint="eastAsia" w:ascii="方正小标宋简体" w:hAnsi="黑体" w:eastAsia="方正小标宋简体"/>
          <w:b w:val="0"/>
          <w:sz w:val="36"/>
          <w:szCs w:val="36"/>
        </w:rPr>
        <w:t>重要桥头堡</w:t>
      </w:r>
      <w:bookmarkEnd w:id="81"/>
      <w:r>
        <w:rPr>
          <w:rFonts w:hint="eastAsia" w:ascii="方正小标宋简体" w:hAnsi="黑体" w:eastAsia="方正小标宋简体"/>
          <w:b w:val="0"/>
          <w:sz w:val="36"/>
          <w:szCs w:val="36"/>
        </w:rPr>
        <w:t>建设</w:t>
      </w:r>
      <w:bookmarkEnd w:id="82"/>
    </w:p>
    <w:p>
      <w:pPr>
        <w:spacing w:line="576" w:lineRule="exact"/>
        <w:ind w:firstLine="640" w:firstLineChars="200"/>
        <w:rPr>
          <w:rFonts w:ascii="仿宋_GB2312" w:eastAsia="仿宋_GB2312"/>
          <w:sz w:val="32"/>
          <w:szCs w:val="32"/>
        </w:rPr>
      </w:pPr>
    </w:p>
    <w:p>
      <w:pPr>
        <w:spacing w:line="576" w:lineRule="exact"/>
        <w:ind w:firstLine="640" w:firstLineChars="200"/>
        <w:rPr>
          <w:rFonts w:ascii="仿宋_GB2312" w:eastAsia="仿宋_GB2312"/>
          <w:sz w:val="32"/>
          <w:szCs w:val="32"/>
        </w:rPr>
      </w:pPr>
      <w:r>
        <w:rPr>
          <w:rFonts w:hint="eastAsia" w:ascii="仿宋_GB2312" w:eastAsia="仿宋_GB2312"/>
          <w:sz w:val="32"/>
          <w:szCs w:val="32"/>
        </w:rPr>
        <w:t>立足根河生态禀赋、区位特征及国有林区转型发展实际，进一步融入国家向北开放重要桥头堡建设，全方位加强与国内地区的区域协作，持续扩大对外开放，积极融入共建“一带一路”高质量发展和中蒙俄经济走廊建设。</w:t>
      </w:r>
    </w:p>
    <w:p>
      <w:pPr>
        <w:pStyle w:val="12"/>
        <w:spacing w:before="0" w:after="0" w:line="576" w:lineRule="exact"/>
        <w:outlineLvl w:val="9"/>
        <w:rPr>
          <w:rFonts w:ascii="黑体" w:hAnsi="黑体" w:eastAsia="黑体"/>
          <w:b w:val="0"/>
          <w:bCs w:val="0"/>
        </w:rPr>
      </w:pPr>
      <w:bookmarkStart w:id="83" w:name="_Toc16716_WPSOffice_Level2"/>
      <w:bookmarkStart w:id="84" w:name="_Toc12100_WPSOffice_Level2"/>
      <w:r>
        <w:rPr>
          <w:rFonts w:hint="eastAsia" w:ascii="黑体" w:hAnsi="黑体" w:eastAsia="黑体"/>
          <w:b w:val="0"/>
          <w:bCs w:val="0"/>
        </w:rPr>
        <w:t>第一节  服务对接区域重大战略</w:t>
      </w:r>
      <w:bookmarkEnd w:id="83"/>
      <w:bookmarkEnd w:id="84"/>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全面加强蒙东振兴合作。</w:t>
      </w:r>
      <w:r>
        <w:rPr>
          <w:rFonts w:hint="eastAsia" w:ascii="仿宋_GB2312" w:eastAsia="仿宋_GB2312"/>
          <w:sz w:val="32"/>
          <w:szCs w:val="32"/>
        </w:rPr>
        <w:t>细化落实振兴蒙东措施，针对生态保护、文化旅游、基础设施建设、低空经济发展等方面，落实“呼兴”区域协作事项，加强与周边旗市区在生态保护、文旅线路串联等领域合作。加强与驻市森工公司合作，建立地林共建共融机制，围绕森林草原防灭火、林下产品加工、基础设施建设、招商引资、低空经济等领域开展常态化沟通协商，联合用好森林资源，协同开展林业政策争取和落实，实现生态保护与经济发展双赢。</w:t>
      </w:r>
    </w:p>
    <w:p>
      <w:pPr>
        <w:spacing w:line="576" w:lineRule="exact"/>
        <w:ind w:firstLine="629" w:firstLineChars="196"/>
        <w:rPr>
          <w:rFonts w:ascii="仿宋_GB2312" w:eastAsia="仿宋_GB2312"/>
          <w:sz w:val="32"/>
          <w:szCs w:val="32"/>
        </w:rPr>
      </w:pPr>
      <w:r>
        <w:rPr>
          <w:rFonts w:hint="eastAsia" w:ascii="楷体_GB2312" w:hAnsi="楷体" w:eastAsia="楷体_GB2312"/>
          <w:b/>
          <w:sz w:val="32"/>
          <w:szCs w:val="32"/>
        </w:rPr>
        <w:t>深入落实东北全面振兴战略。</w:t>
      </w:r>
      <w:r>
        <w:rPr>
          <w:rFonts w:hint="eastAsia" w:ascii="仿宋_GB2312" w:eastAsia="仿宋_GB2312"/>
          <w:sz w:val="32"/>
          <w:szCs w:val="32"/>
        </w:rPr>
        <w:t>加强与东北三省在突发公共事件联防联控、基础设施建设、生态保护共治、特色产业共育等方面合作，推进满归－漠河铁路等交通基础设施互联互通。加大森林草原防灭火领域合作力度，共同探索区域生态产品价值实现模式。加强在产业互补、公共服务提升等领域沟通合作，积极争取文化旅游、冰雪产业发展协作共赢。</w:t>
      </w:r>
    </w:p>
    <w:p>
      <w:pPr>
        <w:spacing w:line="576" w:lineRule="exact"/>
        <w:ind w:firstLine="629" w:firstLineChars="196"/>
        <w:rPr>
          <w:rFonts w:ascii="仿宋_GB2312" w:eastAsia="仿宋_GB2312"/>
          <w:sz w:val="32"/>
          <w:szCs w:val="32"/>
        </w:rPr>
      </w:pPr>
      <w:r>
        <w:rPr>
          <w:rFonts w:hint="eastAsia" w:ascii="楷体_GB2312" w:hAnsi="楷体" w:eastAsia="楷体_GB2312"/>
          <w:b/>
          <w:sz w:val="32"/>
          <w:szCs w:val="32"/>
        </w:rPr>
        <w:t>加强与经济发达地区交流合作。</w:t>
      </w:r>
      <w:r>
        <w:rPr>
          <w:rFonts w:hint="eastAsia" w:ascii="仿宋_GB2312" w:eastAsia="仿宋_GB2312"/>
          <w:sz w:val="32"/>
          <w:szCs w:val="32"/>
        </w:rPr>
        <w:t>加强与京津冀、长三角、粤港澳大湾区等经济发达地区对接交流，深入开展产业协作，积极承接产业梯度转移，引进东部沿海地区先进适用技术成果，积极发展冰雪经济、极寒测试等新兴产业。</w:t>
      </w:r>
    </w:p>
    <w:p>
      <w:pPr>
        <w:pStyle w:val="12"/>
        <w:spacing w:before="0" w:after="0" w:line="576" w:lineRule="exact"/>
        <w:outlineLvl w:val="9"/>
        <w:rPr>
          <w:rFonts w:ascii="黑体" w:hAnsi="黑体" w:eastAsia="黑体"/>
          <w:b w:val="0"/>
          <w:bCs w:val="0"/>
        </w:rPr>
      </w:pPr>
      <w:bookmarkStart w:id="85" w:name="_Toc15289_WPSOffice_Level2"/>
      <w:bookmarkStart w:id="86" w:name="_Toc14733_WPSOffice_Level2"/>
      <w:r>
        <w:rPr>
          <w:rFonts w:hint="eastAsia" w:ascii="黑体" w:hAnsi="黑体" w:eastAsia="黑体"/>
          <w:b w:val="0"/>
          <w:bCs w:val="0"/>
        </w:rPr>
        <w:t>第二节  加强对外开放合作</w:t>
      </w:r>
      <w:bookmarkEnd w:id="85"/>
      <w:bookmarkEnd w:id="86"/>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提高对外贸易和外商投资合作水平。</w:t>
      </w:r>
      <w:r>
        <w:rPr>
          <w:rFonts w:hint="eastAsia" w:ascii="仿宋_GB2312" w:eastAsia="仿宋_GB2312"/>
          <w:sz w:val="32"/>
          <w:szCs w:val="32"/>
        </w:rPr>
        <w:t>健全完善《根河市外资重点储备项目库》，积极动员外贸企业实现直接进口以及外贸出口业绩回流，强化服务与保障，力争扩大进出口贸易额。积极组织企业参加俄蒙等共建“一带一路”国家举办的投资合作活动。指导境外投资企业履行好安全主体责任，健全风险防控机制。积极对接蒙古国工商会、俄罗斯布里亚特共和国工商会和雅库茨克市工商界，借助自治区与呼伦贝尔市组织的境内外招商平台，谋划赴北京、广州、深圳、河北等地举办招引外资推介活动，力争吸引外资企业在我市落地。</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加强对外区域交流协作。</w:t>
      </w:r>
      <w:r>
        <w:rPr>
          <w:rFonts w:hint="eastAsia" w:ascii="仿宋_GB2312" w:eastAsia="仿宋_GB2312"/>
          <w:sz w:val="32"/>
          <w:szCs w:val="32"/>
        </w:rPr>
        <w:t>加强与俄蒙毗邻地区的文旅交流，配合做好中俄蒙青少年研学活动等工作。以“驯鹿之乡”为核心，深化与俄罗斯雅库茨克市沟通交流，拓展驯鹿养殖、手工艺品开发等领域合作。深化乌兰牧骑“学</w:t>
      </w:r>
      <w:r>
        <w:rPr>
          <w:rFonts w:hint="eastAsia" w:ascii="MS Mincho" w:hAnsi="MS Mincho" w:eastAsia="MS Mincho" w:cs="MS Mincho"/>
          <w:sz w:val="32"/>
          <w:szCs w:val="32"/>
        </w:rPr>
        <w:t>・</w:t>
      </w:r>
      <w:r>
        <w:rPr>
          <w:rFonts w:hint="eastAsia" w:ascii="仿宋_GB2312" w:hAnsi="仿宋_GB2312" w:eastAsia="仿宋_GB2312" w:cs="仿宋_GB2312"/>
          <w:sz w:val="32"/>
          <w:szCs w:val="32"/>
        </w:rPr>
        <w:t>创</w:t>
      </w:r>
      <w:r>
        <w:rPr>
          <w:rFonts w:hint="eastAsia" w:ascii="MS Mincho" w:hAnsi="MS Mincho" w:eastAsia="MS Mincho" w:cs="MS Mincho"/>
          <w:sz w:val="32"/>
          <w:szCs w:val="32"/>
        </w:rPr>
        <w:t>・</w:t>
      </w:r>
      <w:r>
        <w:rPr>
          <w:rFonts w:hint="eastAsia" w:ascii="仿宋_GB2312" w:hAnsi="仿宋_GB2312" w:eastAsia="仿宋_GB2312" w:cs="仿宋_GB2312"/>
          <w:sz w:val="32"/>
          <w:szCs w:val="32"/>
        </w:rPr>
        <w:t>演”活动，加强市内外、区内外文化交流合作，</w:t>
      </w:r>
      <w:r>
        <w:rPr>
          <w:rFonts w:hint="eastAsia" w:ascii="仿宋_GB2312" w:eastAsia="仿宋_GB2312"/>
          <w:sz w:val="32"/>
          <w:szCs w:val="32"/>
        </w:rPr>
        <w:t>积极推动中国优秀文化作品对外传播。</w:t>
      </w:r>
    </w:p>
    <w:p>
      <w:pPr>
        <w:pStyle w:val="12"/>
        <w:spacing w:before="0" w:after="0"/>
        <w:outlineLvl w:val="9"/>
        <w:rPr>
          <w:rFonts w:ascii="方正小标宋简体" w:hAnsi="黑体" w:eastAsia="方正小标宋简体"/>
          <w:b w:val="0"/>
          <w:sz w:val="36"/>
          <w:szCs w:val="36"/>
        </w:rPr>
      </w:pPr>
      <w:bookmarkStart w:id="87" w:name="_Toc24819_WPSOffice_Level1"/>
      <w:bookmarkStart w:id="88" w:name="_Toc10657_WPSOffice_Level1"/>
    </w:p>
    <w:p/>
    <w:p/>
    <w:p/>
    <w:p/>
    <w:p/>
    <w:p/>
    <w:p/>
    <w:p>
      <w:pPr>
        <w:pStyle w:val="12"/>
        <w:spacing w:before="0" w:after="0"/>
        <w:outlineLvl w:val="9"/>
        <w:rPr>
          <w:rFonts w:ascii="方正小标宋简体" w:hAnsi="黑体" w:eastAsia="方正小标宋简体"/>
          <w:b w:val="0"/>
          <w:sz w:val="36"/>
          <w:szCs w:val="36"/>
        </w:rPr>
      </w:pPr>
      <w:r>
        <w:rPr>
          <w:rFonts w:hint="eastAsia" w:ascii="方正小标宋简体" w:hAnsi="黑体" w:eastAsia="方正小标宋简体"/>
          <w:b w:val="0"/>
          <w:sz w:val="36"/>
          <w:szCs w:val="36"/>
        </w:rPr>
        <w:t>第九章  坚持生态产业化和产业生态化 构建现代化</w:t>
      </w:r>
      <w:bookmarkEnd w:id="87"/>
      <w:bookmarkStart w:id="89" w:name="_Toc4302_WPSOffice_Level1"/>
      <w:r>
        <w:rPr>
          <w:rFonts w:hint="eastAsia" w:ascii="方正小标宋简体" w:hAnsi="黑体" w:eastAsia="方正小标宋简体"/>
          <w:b w:val="0"/>
          <w:sz w:val="36"/>
          <w:szCs w:val="36"/>
        </w:rPr>
        <w:t>产业体系</w:t>
      </w:r>
      <w:bookmarkEnd w:id="88"/>
      <w:bookmarkEnd w:id="89"/>
    </w:p>
    <w:p>
      <w:pPr>
        <w:spacing w:line="576" w:lineRule="exact"/>
        <w:ind w:firstLine="640" w:firstLineChars="200"/>
        <w:rPr>
          <w:rFonts w:ascii="仿宋_GB2312" w:hAnsi="仿宋_GB2312" w:eastAsia="仿宋_GB2312" w:cs="仿宋_GB2312"/>
          <w:sz w:val="32"/>
          <w:szCs w:val="32"/>
        </w:rPr>
      </w:pPr>
    </w:p>
    <w:p>
      <w:pPr>
        <w:spacing w:line="576"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深入践行习近平经济思想，围绕经济建设和高质量发展两大核心任务，坚持把发展经济的着力点放在实体经济上，以生态优先、绿色发展为导向，把推动产业优化升级作为主攻方向，因地制宜发展新质生产力，积极构建现代化产业体系。</w:t>
      </w:r>
    </w:p>
    <w:p>
      <w:pPr>
        <w:pStyle w:val="12"/>
        <w:spacing w:before="0" w:after="0" w:line="576" w:lineRule="exact"/>
        <w:outlineLvl w:val="9"/>
        <w:rPr>
          <w:rFonts w:ascii="黑体" w:hAnsi="黑体" w:eastAsia="黑体"/>
          <w:b w:val="0"/>
          <w:bCs w:val="0"/>
        </w:rPr>
      </w:pPr>
      <w:bookmarkStart w:id="90" w:name="_Toc21746_WPSOffice_Level2"/>
      <w:bookmarkStart w:id="91" w:name="_Toc10371_WPSOffice_Level2"/>
      <w:r>
        <w:rPr>
          <w:rFonts w:hint="eastAsia" w:ascii="黑体" w:hAnsi="黑体" w:eastAsia="黑体"/>
          <w:b w:val="0"/>
          <w:bCs w:val="0"/>
        </w:rPr>
        <w:t>第一节  促进传统产业转型升级</w:t>
      </w:r>
      <w:bookmarkEnd w:id="90"/>
      <w:bookmarkEnd w:id="91"/>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推动矿产资源绿色开发。</w:t>
      </w:r>
      <w:r>
        <w:rPr>
          <w:rFonts w:hint="eastAsia" w:ascii="仿宋_GB2312" w:hAnsi="仿宋_GB2312" w:eastAsia="仿宋_GB2312" w:cs="仿宋_GB2312"/>
          <w:sz w:val="32"/>
          <w:szCs w:val="32"/>
        </w:rPr>
        <w:t>严格落实国土空间规划，合理划定矿产开采区域，优化矿产开发布局。持续推进绿色矿山建设，推广智能化开采、绿色选矿等技术，提高矿产资源利用率，降低能耗和污染排放。聚焦新一轮找矿突破战略行动，加快探矿权地质勘查和“探转采”工作，稳抓资源整合扩能，推进企业盘活存量矿产资源，提高铅锌矿采选加工能力。推动山金矿业三河铅锌矿采矿项目、比利亚谷铅锌矿年采选99万吨铅锌矿石建设等矿产项目开工投产，推动产能提升。到2030年，铅锌矿产能预计提升至60万吨/年，有色金属产业产值预计达到4亿元。</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推动木材加工业提档升级。</w:t>
      </w:r>
      <w:r>
        <w:rPr>
          <w:rFonts w:hint="eastAsia" w:ascii="仿宋_GB2312" w:eastAsia="仿宋_GB2312"/>
          <w:sz w:val="32"/>
          <w:szCs w:val="32"/>
        </w:rPr>
        <w:t>加强企业技术改造和自主创新，加快木制品产品研发和升级，形成以装配式现代木结构建筑为主，以木制工艺品为辅的产业链条。围绕资源转化增值，推动食品木质包装材料智能制造，提高木材综合利用率和产品附加值，使木材资源向精、深、细和高端、高附加值方向发展。</w:t>
      </w:r>
    </w:p>
    <w:p>
      <w:pPr>
        <w:pStyle w:val="12"/>
        <w:spacing w:before="0" w:after="0" w:line="576" w:lineRule="exact"/>
        <w:outlineLvl w:val="9"/>
        <w:rPr>
          <w:rFonts w:ascii="黑体" w:hAnsi="黑体" w:eastAsia="黑体"/>
          <w:b w:val="0"/>
          <w:bCs w:val="0"/>
        </w:rPr>
      </w:pPr>
      <w:bookmarkStart w:id="92" w:name="_Toc31288_WPSOffice_Level2"/>
      <w:bookmarkStart w:id="93" w:name="_Toc11170_WPSOffice_Level2"/>
      <w:r>
        <w:rPr>
          <w:rFonts w:hint="eastAsia" w:ascii="黑体" w:hAnsi="黑体" w:eastAsia="黑体"/>
          <w:b w:val="0"/>
          <w:bCs w:val="0"/>
        </w:rPr>
        <w:t>第二节  培育壮大新兴产业</w:t>
      </w:r>
      <w:bookmarkEnd w:id="92"/>
      <w:bookmarkEnd w:id="93"/>
    </w:p>
    <w:p>
      <w:pPr>
        <w:spacing w:line="576" w:lineRule="exact"/>
        <w:ind w:firstLine="627" w:firstLineChars="196"/>
        <w:rPr>
          <w:rFonts w:ascii="仿宋_GB2312" w:eastAsia="仿宋_GB2312"/>
          <w:sz w:val="32"/>
          <w:szCs w:val="32"/>
        </w:rPr>
      </w:pPr>
      <w:r>
        <w:rPr>
          <w:rFonts w:hint="eastAsia" w:ascii="仿宋_GB2312" w:eastAsia="仿宋_GB2312"/>
          <w:sz w:val="32"/>
          <w:szCs w:val="32"/>
        </w:rPr>
        <w:t>实施新兴产业培育工程，巩固扩大飞行器等工业品耐冷测试产业规模，深化冰雪、低空经济产业化布局，打造经济增长新引擎。</w:t>
      </w:r>
    </w:p>
    <w:p>
      <w:pPr>
        <w:spacing w:line="576" w:lineRule="exact"/>
        <w:ind w:firstLine="629" w:firstLineChars="196"/>
        <w:rPr>
          <w:rFonts w:ascii="仿宋_GB2312" w:eastAsia="仿宋_GB2312"/>
          <w:sz w:val="32"/>
          <w:szCs w:val="32"/>
        </w:rPr>
      </w:pPr>
      <w:r>
        <w:rPr>
          <w:rFonts w:hint="eastAsia" w:ascii="楷体_GB2312" w:hAnsi="楷体" w:eastAsia="楷体_GB2312"/>
          <w:b/>
          <w:sz w:val="32"/>
          <w:szCs w:val="32"/>
        </w:rPr>
        <w:t>大力发展冰雪产业。</w:t>
      </w:r>
      <w:r>
        <w:rPr>
          <w:rFonts w:hint="eastAsia" w:ascii="仿宋_GB2312" w:eastAsia="仿宋_GB2312"/>
          <w:sz w:val="32"/>
          <w:szCs w:val="32"/>
        </w:rPr>
        <w:t>着力提升冰雪旅游品质，增强冰雪旅游体验性与参与性，推动传统冰雪旅游产品提质升级，发展冰雪文化旅游和休闲度假产业。全面提升冰雪运动水平，积极培育冰雪竞赛表演市场。紧跟当下回归自然、生态环保趋势与潮流，与本地历史、风景、人文及民俗紧密结合，打造冰雪运动赛事品牌。</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加快发展耐冷性测试产业。</w:t>
      </w:r>
      <w:r>
        <w:rPr>
          <w:rFonts w:hint="eastAsia" w:ascii="仿宋_GB2312" w:eastAsia="仿宋_GB2312"/>
          <w:sz w:val="32"/>
          <w:szCs w:val="32"/>
        </w:rPr>
        <w:t>依托敖鲁古雅机场测试基地和根河气象站数据资源，充分利用冷资源优势，开展航空器、北斗导航设备、氢动力无人机等测试。巩固深化与测试企业、机构的合作成果，提升飞行器等装备极寒环境测试能力，推动数据测试向装备研发、技术标准、人才培养全链条转化。拓展工业耐冷性测试范围，培育发展冰雪运动装备、极寒户外作业装备、船舶装备、军用装备等领域极寒测试产业。探索新能源装备寒地测试产业发展，加强与国内新能源装备制造企业对接合作，推进测试数据转化应用于新能源装备制造。到2030年，力争建设成为全国工业品耐冷性测试基地，寒地测试产业总产值达到3000万元。</w:t>
      </w:r>
    </w:p>
    <w:p>
      <w:pPr>
        <w:pStyle w:val="10"/>
        <w:spacing w:before="0" w:after="0" w:line="576" w:lineRule="exact"/>
        <w:ind w:firstLine="642" w:firstLineChars="200"/>
        <w:jc w:val="both"/>
        <w:rPr>
          <w:rFonts w:ascii="仿宋_GB2312" w:eastAsia="仿宋_GB2312"/>
          <w:b w:val="0"/>
        </w:rPr>
      </w:pPr>
      <w:r>
        <w:rPr>
          <w:rFonts w:hint="eastAsia" w:ascii="楷体_GB2312" w:hAnsi="楷体" w:eastAsia="楷体_GB2312" w:cs="Times New Roman"/>
          <w:bCs w:val="0"/>
          <w:kern w:val="2"/>
        </w:rPr>
        <w:t>培育发展低空经济。</w:t>
      </w:r>
      <w:r>
        <w:rPr>
          <w:rFonts w:hint="eastAsia" w:ascii="仿宋_GB2312" w:hAnsi="Times New Roman" w:eastAsia="仿宋_GB2312" w:cs="Times New Roman"/>
          <w:b w:val="0"/>
          <w:bCs w:val="0"/>
          <w:kern w:val="2"/>
        </w:rPr>
        <w:t>以低空产业生态构建为导向，积极发展低空经济，打造通用航空试验试飞产业链。</w:t>
      </w:r>
      <w:r>
        <w:rPr>
          <w:rFonts w:hint="eastAsia" w:ascii="仿宋_GB2312" w:eastAsia="仿宋_GB2312"/>
          <w:b w:val="0"/>
        </w:rPr>
        <w:t>培育打造低空文旅消费业态，围绕“根河原始森林”“根河湿地”空中观光廊道建设，重点打造以“低空观光旅游、航空体育运动、航空文化科普、航空摄影”等为主的航空文旅产业链，推进“文旅+航空”一体化发展。到2030年，力争打造低空旅游精品项目1个，新建飞行营地1个以上。因地制宜开发应急救援、低空物流等低空应用新场景，打造经济增长新引擎。</w:t>
      </w:r>
    </w:p>
    <w:p>
      <w:pPr>
        <w:pStyle w:val="12"/>
        <w:spacing w:before="0" w:after="0" w:line="576" w:lineRule="exact"/>
        <w:outlineLvl w:val="9"/>
        <w:rPr>
          <w:rFonts w:ascii="黑体" w:hAnsi="黑体" w:eastAsia="黑体"/>
          <w:b w:val="0"/>
          <w:bCs w:val="0"/>
        </w:rPr>
      </w:pPr>
      <w:bookmarkStart w:id="94" w:name="_Toc1520_WPSOffice_Level2"/>
      <w:bookmarkStart w:id="95" w:name="_Toc22597_WPSOffice_Level2"/>
      <w:r>
        <w:rPr>
          <w:rFonts w:hint="eastAsia" w:ascii="黑体" w:hAnsi="黑体" w:eastAsia="黑体"/>
          <w:b w:val="0"/>
          <w:bCs w:val="0"/>
        </w:rPr>
        <w:t>第三节  推进文化和旅游深度融合</w:t>
      </w:r>
      <w:bookmarkEnd w:id="94"/>
      <w:bookmarkEnd w:id="95"/>
    </w:p>
    <w:p>
      <w:pPr>
        <w:spacing w:line="576" w:lineRule="exact"/>
        <w:ind w:firstLine="645"/>
        <w:rPr>
          <w:rFonts w:ascii="仿宋_GB2312" w:eastAsia="仿宋_GB2312"/>
          <w:sz w:val="32"/>
          <w:szCs w:val="32"/>
        </w:rPr>
      </w:pPr>
      <w:r>
        <w:rPr>
          <w:rFonts w:hint="eastAsia" w:ascii="楷体_GB2312" w:hAnsi="楷体" w:eastAsia="楷体_GB2312"/>
          <w:b/>
          <w:sz w:val="32"/>
          <w:szCs w:val="32"/>
        </w:rPr>
        <w:t>深化文旅融合发展。</w:t>
      </w:r>
      <w:r>
        <w:rPr>
          <w:rFonts w:hint="eastAsia" w:ascii="仿宋_GB2312" w:eastAsia="仿宋_GB2312"/>
          <w:sz w:val="32"/>
          <w:szCs w:val="32"/>
        </w:rPr>
        <w:t>以发展全域旅游、四季旅游为目标，以文旅融合、优质服务为方向，打造核心景区集群，全链条提升旅游业态。深度挖掘“额尔古纳河右岸”文化内涵，适时推出《敖鲁古雅风情》《我们的敖鲁古雅》等实景演艺精品。深耕“森林童话婚礼”等特色业态，建设文化体验载体。推动“文旅+”跨界融合，实施得耳布尔卡鲁奔湿地自然教育研学科研基地建设项目，积极发展“文旅+研学”。整合温泉、森林、中医药等资源，发展“文旅+康养”，逐步形成以“温泉康养+中蒙医药浴理疗+中草药食疗”为主的森林康养体系，打造森林温泉康养基地。发展“文旅+体育”“文旅</w:t>
      </w:r>
      <w:r>
        <w:rPr>
          <w:rFonts w:ascii="仿宋_GB2312" w:eastAsia="仿宋_GB2312"/>
          <w:sz w:val="32"/>
          <w:szCs w:val="32"/>
        </w:rPr>
        <w:t>+</w:t>
      </w:r>
      <w:r>
        <w:rPr>
          <w:rFonts w:hint="eastAsia" w:ascii="仿宋_GB2312" w:eastAsia="仿宋_GB2312"/>
          <w:sz w:val="32"/>
          <w:szCs w:val="32"/>
        </w:rPr>
        <w:t>冰雪”，加强与森工企业合作，高标准谋划冷极冰雪季系列活动，打造冷极民俗产品，推出游客必到必游的冬季旅游“打卡地”。做大冰雪运动，高质量承接内蒙古冰雪英雄会等汽车穿越活动，培育根河源国家越野公园等穿越基地，打造特色穿越线路，全力拓展冰雪自驾游市场，丰富文旅业态。</w:t>
      </w:r>
    </w:p>
    <w:p>
      <w:pPr>
        <w:spacing w:line="576" w:lineRule="exact"/>
        <w:ind w:firstLine="645"/>
        <w:rPr>
          <w:rFonts w:ascii="仿宋_GB2312" w:eastAsia="仿宋_GB2312"/>
          <w:sz w:val="32"/>
          <w:szCs w:val="32"/>
        </w:rPr>
      </w:pPr>
      <w:r>
        <w:rPr>
          <w:rFonts w:hint="eastAsia" w:ascii="楷体_GB2312" w:hAnsi="楷体" w:eastAsia="楷体_GB2312"/>
          <w:b/>
          <w:sz w:val="32"/>
          <w:szCs w:val="32"/>
        </w:rPr>
        <w:t>提升旅游配套服务水平。</w:t>
      </w:r>
      <w:r>
        <w:rPr>
          <w:rFonts w:hint="eastAsia" w:ascii="仿宋_GB2312" w:eastAsia="仿宋_GB2312"/>
          <w:sz w:val="32"/>
          <w:szCs w:val="32"/>
        </w:rPr>
        <w:t>加速推动文化旅游重要点位、服务设施提升，完善G331、G332道路沿线标识。协同推进电力及通讯设施建设，保障沿线重点景区和旅游服务设施电力供应、通讯信号全覆盖。实施等级旅游民宿、星级酒店、绿色酒店晋级增星和品牌提升工程，推动实施温泉酒店、奥赫塔民宿、极寒酒店等项目，加快敖鲁古雅传统村落保护提升项目建设，提升服务水平。完善根河源国家湿地公园、满归旅游度假区自驾车旅居车等配套设施，推出生态康养旅游产品。加速推进冷极村文旅综合体建设，推动冷极村设施业态进一步提升。完善景区停车场、旅游步道等设施，增设VR体验、智慧旅游一体机等设施项目，推动景区导览功能智能化、直观化，切实优化游客体验。</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做强旅游品牌和线路。</w:t>
      </w:r>
      <w:r>
        <w:rPr>
          <w:rFonts w:hint="eastAsia" w:ascii="仿宋_GB2312" w:eastAsia="仿宋_GB2312"/>
          <w:sz w:val="32"/>
          <w:szCs w:val="32"/>
        </w:rPr>
        <w:t>高标准打好项目招引建设、文化挖掘展示、服务运营提升组合拳，全力推动敖鲁古雅使鹿部落创建国家5A级景区。着力推动文旅产业与康养度假、文化体育、城乡经济融合发展，精心打造“中国冷极体验”“驯鹿文化觅踪”“历史文化探秘”“森林生态文化研学”等旅游产品，扩大“森林之城、驯鹿之乡、养生胜地、中国冷极”等旅游品牌的影响力。加强与国内主流媒体、网络达人、线上知名营销平台、新媒体社交平台对接合作，构建宣传全媒体矩阵，持续扩大宣传推广范围。加强与京津冀、长三角、珠三角等旅游产业发达地区对接，通过开展线下文旅产品推介会，持续提升根河市文旅产业知名度和美誉度。以根满公路为依托，优化“大兴安岭风景道—两极穿越”精品线路运营效能，谋划建设根河市内旅游环线，联动推进卡鲁奔国家湿地公园、奥克里堆山、牛耳河国家湿地公园等旅游资源开发，打造根河特色生态旅游集群。依托呼伦贝尔旅游环线带动全域旅游高质量发展，合作推动沿途旅游驿站全季节开放运营，并实现与呼伦贝尔、东北地区乃至中蒙俄旅游大环线的畅联畅通。“十五五”期间，力争年旅游宣传曝光量突破2亿次。</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实施文旅壮企强企行动。</w:t>
      </w:r>
      <w:r>
        <w:rPr>
          <w:rFonts w:hint="eastAsia" w:ascii="仿宋_GB2312" w:eastAsia="仿宋_GB2312"/>
          <w:sz w:val="32"/>
          <w:szCs w:val="32"/>
        </w:rPr>
        <w:t>强化经营主体梯度培育，持续推进升规纳统工作。推动市域内企业与外部企业在人才培训、市场营销、客源共享、宣传推介等领域达成紧密合作，共同开发旅游产品，打造研学体系。组织开展全市强文强旅人才培养计划，对全市景区景点、住宿餐饮业文旅经营主体开展培训，全面提升全市文旅企业服务水平。实施文旅市场信用分级分类监管，持续拓展“信用+”场景应用，提高文旅企业诚信意识和服务质量。围绕旅游市场可能存在的导游乱象、黑车黑导等问题，开展专项执法行动，推进多部门联合执法，全面推行文旅市场监管“双公示”和“双随机、一公开”制度。到2030年，力争文旅及附属行业从业人员超1万人。</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加强文旅区域交流合作。</w:t>
      </w:r>
      <w:r>
        <w:rPr>
          <w:rFonts w:hint="eastAsia" w:ascii="仿宋_GB2312" w:eastAsia="仿宋_GB2312"/>
          <w:sz w:val="32"/>
          <w:szCs w:val="32"/>
        </w:rPr>
        <w:t>依托根河市丰富的文旅资源和独特的民俗文化，不断强化与黑龙江省漠河市旅游联盟关系，深化省际旅游合作。持续加强与俄罗斯、蒙古国、北欧地区等世界驯鹿养殖成员国文化旅游交流，积极打造泛北极圈旅游文化体验，推动在驯鹿文化交流、文化遗产保护等方面深度合作。串联我市景区景点，全面融入呼伦贝尔“中俄蒙”精品旅游线路，精准对接国外游客市场，开发定制化旅游产品，全力推进跨国旅游业发展。聚焦精准招商，促进协同发展，推动与京津冀、长三角、珠三角等旅游发达地区达成合作，实现产业优势互补、游客互输、资源共享。到2030年，力争实现全市旅游收入突破70亿元，旅游接待量突破600万人次的总体目标。</w:t>
      </w:r>
    </w:p>
    <w:p>
      <w:pPr>
        <w:pStyle w:val="12"/>
        <w:spacing w:before="0" w:after="0" w:line="576" w:lineRule="exact"/>
        <w:outlineLvl w:val="9"/>
        <w:rPr>
          <w:rFonts w:ascii="黑体" w:hAnsi="黑体" w:eastAsia="黑体"/>
          <w:b w:val="0"/>
          <w:bCs w:val="0"/>
        </w:rPr>
      </w:pPr>
      <w:bookmarkStart w:id="96" w:name="_Toc4338_WPSOffice_Level2"/>
      <w:bookmarkStart w:id="97" w:name="_Toc12915_WPSOffice_Level2"/>
      <w:r>
        <w:rPr>
          <w:rFonts w:hint="eastAsia" w:ascii="黑体" w:hAnsi="黑体" w:eastAsia="黑体"/>
          <w:b w:val="0"/>
          <w:bCs w:val="0"/>
        </w:rPr>
        <w:t>第四节  促进现代服务业优质高效发展</w:t>
      </w:r>
      <w:bookmarkEnd w:id="96"/>
      <w:bookmarkEnd w:id="97"/>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推动生产性服务业融合发展。</w:t>
      </w:r>
      <w:r>
        <w:rPr>
          <w:rFonts w:hint="eastAsia" w:ascii="仿宋_GB2312" w:eastAsia="仿宋_GB2312"/>
          <w:sz w:val="32"/>
          <w:szCs w:val="32"/>
        </w:rPr>
        <w:t>以服务经济实体为导向，推动物流业向市场化、专业化、信息化延伸。积极发展多式联运，完善城乡配送体系，切实推动物流降本增效。</w:t>
      </w:r>
      <w:r>
        <w:rPr>
          <w:rFonts w:hint="eastAsia" w:ascii="MS Mincho" w:hAnsi="MS Mincho" w:eastAsia="MS Mincho" w:cs="MS Mincho"/>
          <w:sz w:val="32"/>
          <w:szCs w:val="32"/>
        </w:rPr>
        <w:t>‌</w:t>
      </w:r>
      <w:r>
        <w:rPr>
          <w:rFonts w:hint="eastAsia" w:ascii="仿宋_GB2312" w:hAnsi="宋体" w:eastAsia="仿宋_GB2312" w:cs="宋体"/>
          <w:sz w:val="32"/>
          <w:szCs w:val="32"/>
        </w:rPr>
        <w:t>建设覆盖农产品生产、加工、运输、销售的全链条冷链物流体系，推动冷链物流中心建设，破解生鲜农产品、蓝莓、桦树汁等林区物产保鲜难题。培育现代物流企业，合理布局乡镇</w:t>
      </w:r>
      <w:r>
        <w:rPr>
          <w:rFonts w:hint="eastAsia" w:ascii="仿宋_GB2312" w:eastAsia="仿宋_GB2312"/>
          <w:sz w:val="32"/>
          <w:szCs w:val="32"/>
        </w:rPr>
        <w:t>物流网点，进一步完善物流服务体系。提升法律、技术、管理、财务咨询和人力资源等服务专业化水平，开展检验检测、认可认证、标准计量等新型服务。推动普惠金融和绿色金融发展。</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促进生活性服务优化升级。</w:t>
      </w:r>
      <w:r>
        <w:rPr>
          <w:rFonts w:hint="eastAsia" w:ascii="仿宋_GB2312" w:eastAsia="仿宋_GB2312"/>
          <w:sz w:val="32"/>
          <w:szCs w:val="32"/>
        </w:rPr>
        <w:t>以适应旅游城市建设和向游客提供满意服务为核心，构建“全域联动、业态多元、安全便捷”的商品流通与服务业态体系，形成消费拉动有力、流通顺畅高效、服务便捷优质、市场活力迸发的发展格局。引导社区菜店、连锁便利店等服务设施优化配置，打造“一刻钟”便民生活圈。落实商贸流通业高质量发展措施，强化政策赋能与要素保障，壮大经营主体规模。引导各类商贸流通企业、新兴服务企业新建、改造集贸市场、大型连锁商超、快递站点等商业服务设施，调整、优化市场和网店布局。促进家政服务业提质升级。规范物业服务，探索“物业服务+生活服务”模式。</w:t>
      </w:r>
    </w:p>
    <w:tbl>
      <w:tblPr>
        <w:tblStyle w:val="31"/>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9060" w:type="dxa"/>
            <w:vAlign w:val="center"/>
          </w:tcPr>
          <w:p>
            <w:pPr>
              <w:jc w:val="center"/>
              <w:rPr>
                <w:rFonts w:ascii="黑体" w:hAnsi="黑体" w:eastAsia="黑体" w:cs="仿宋_GB2312"/>
                <w:sz w:val="28"/>
                <w:szCs w:val="28"/>
              </w:rPr>
            </w:pPr>
            <w:r>
              <w:rPr>
                <w:rFonts w:hint="eastAsia" w:ascii="黑体" w:hAnsi="黑体" w:eastAsia="黑体" w:cs="仿宋_GB2312"/>
                <w:sz w:val="28"/>
                <w:szCs w:val="28"/>
              </w:rPr>
              <w:t>专栏5“十五五”产业发展重点项目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9060" w:type="dxa"/>
          </w:tcPr>
          <w:p>
            <w:pPr>
              <w:spacing w:line="400" w:lineRule="exact"/>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1.传统产业转型升级</w:t>
            </w:r>
          </w:p>
          <w:p>
            <w:pPr>
              <w:spacing w:line="400" w:lineRule="exact"/>
              <w:rPr>
                <w:rFonts w:cs="仿宋_GB2312" w:asciiTheme="minorEastAsia" w:hAnsiTheme="minorEastAsia" w:eastAsiaTheme="minorEastAsia"/>
                <w:sz w:val="24"/>
                <w:szCs w:val="24"/>
              </w:rPr>
            </w:pPr>
            <w:r>
              <w:rPr>
                <w:rFonts w:hint="eastAsia" w:cs="仿宋_GB2312" w:asciiTheme="minorEastAsia" w:hAnsiTheme="minorEastAsia" w:eastAsiaTheme="minorEastAsia"/>
                <w:b/>
                <w:sz w:val="24"/>
                <w:szCs w:val="24"/>
              </w:rPr>
              <w:t>矿产资源开发。</w:t>
            </w:r>
            <w:r>
              <w:rPr>
                <w:rFonts w:hint="eastAsia" w:cs="仿宋_GB2312" w:asciiTheme="minorEastAsia" w:hAnsiTheme="minorEastAsia" w:eastAsiaTheme="minorEastAsia"/>
                <w:sz w:val="24"/>
                <w:szCs w:val="24"/>
              </w:rPr>
              <w:t>推动实施铅锌矿采选、改扩建等项目。实施山金矿业三河铅锌矿采矿项目、比利亚谷铅锌矿年采选99万吨铅锌矿石建设项目、森鑫矿业根河市三道桥银铅锌矿年采选50万吨改扩建项目等。</w:t>
            </w:r>
          </w:p>
          <w:p>
            <w:pPr>
              <w:spacing w:line="400" w:lineRule="exact"/>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木材深加工。</w:t>
            </w:r>
            <w:r>
              <w:rPr>
                <w:rFonts w:hint="eastAsia" w:cs="仿宋_GB2312" w:asciiTheme="minorEastAsia" w:hAnsiTheme="minorEastAsia" w:eastAsiaTheme="minorEastAsia"/>
                <w:sz w:val="24"/>
                <w:szCs w:val="24"/>
              </w:rPr>
              <w:t>谋划推进食品木质包装材料智能制造项目。</w:t>
            </w:r>
          </w:p>
          <w:p>
            <w:pPr>
              <w:spacing w:line="400" w:lineRule="exact"/>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2.新兴产业</w:t>
            </w:r>
          </w:p>
          <w:p>
            <w:pPr>
              <w:spacing w:line="400" w:lineRule="exact"/>
              <w:rPr>
                <w:rFonts w:cs="仿宋_GB2312" w:asciiTheme="minorEastAsia" w:hAnsiTheme="minorEastAsia" w:eastAsiaTheme="minorEastAsia"/>
                <w:sz w:val="24"/>
                <w:szCs w:val="24"/>
              </w:rPr>
            </w:pPr>
            <w:r>
              <w:rPr>
                <w:rFonts w:hint="eastAsia" w:cs="仿宋_GB2312" w:asciiTheme="minorEastAsia" w:hAnsiTheme="minorEastAsia" w:eastAsiaTheme="minorEastAsia"/>
                <w:b/>
                <w:sz w:val="24"/>
                <w:szCs w:val="24"/>
              </w:rPr>
              <w:t>冰雪产业。</w:t>
            </w:r>
            <w:r>
              <w:rPr>
                <w:rFonts w:hint="eastAsia" w:cs="仿宋_GB2312" w:asciiTheme="minorEastAsia" w:hAnsiTheme="minorEastAsia" w:eastAsiaTheme="minorEastAsia"/>
                <w:sz w:val="24"/>
                <w:szCs w:val="24"/>
              </w:rPr>
              <w:t>以市区、乡镇主要景区为载体，实施主题乐园、极地科普、研学、民俗体验等冰雪旅游业态提升项目。</w:t>
            </w:r>
          </w:p>
          <w:p>
            <w:pPr>
              <w:spacing w:line="400" w:lineRule="exact"/>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耐冷性测试及低空产业。</w:t>
            </w:r>
            <w:r>
              <w:rPr>
                <w:rFonts w:hint="eastAsia" w:cs="仿宋_GB2312" w:asciiTheme="minorEastAsia" w:hAnsiTheme="minorEastAsia" w:eastAsiaTheme="minorEastAsia"/>
                <w:sz w:val="24"/>
                <w:szCs w:val="24"/>
              </w:rPr>
              <w:t>谋划推进低空飞行器试验研究基地建设、大兴安岭林区航空护林站和野外配套设施等项目。</w:t>
            </w:r>
          </w:p>
          <w:p>
            <w:pPr>
              <w:spacing w:line="400" w:lineRule="exact"/>
              <w:rPr>
                <w:rFonts w:ascii="仿宋_GB2312" w:hAnsi="仿宋_GB2312" w:eastAsia="仿宋_GB2312" w:cs="仿宋_GB2312"/>
                <w:sz w:val="32"/>
                <w:szCs w:val="32"/>
              </w:rPr>
            </w:pPr>
            <w:r>
              <w:rPr>
                <w:rFonts w:hint="eastAsia" w:cs="仿宋_GB2312" w:asciiTheme="minorEastAsia" w:hAnsiTheme="minorEastAsia" w:eastAsiaTheme="minorEastAsia"/>
                <w:b/>
                <w:sz w:val="24"/>
                <w:szCs w:val="24"/>
              </w:rPr>
              <w:t>3.文化旅游业。</w:t>
            </w:r>
            <w:r>
              <w:rPr>
                <w:rFonts w:hint="eastAsia" w:cs="仿宋_GB2312" w:asciiTheme="minorEastAsia" w:hAnsiTheme="minorEastAsia" w:eastAsiaTheme="minorEastAsia"/>
                <w:sz w:val="24"/>
                <w:szCs w:val="24"/>
              </w:rPr>
              <w:t>谋划推进旅游设施系统提升、敖鲁古雅传统村落保护开发、517工队停伐纪念地保护性修缮与功能提升改造、自驾车旅居车营地、生态露营地，以及民宿酒店改造建设等项目。</w:t>
            </w:r>
          </w:p>
        </w:tc>
      </w:tr>
    </w:tbl>
    <w:p>
      <w:pPr>
        <w:pStyle w:val="12"/>
        <w:spacing w:before="0" w:after="0" w:line="576" w:lineRule="exact"/>
        <w:outlineLvl w:val="9"/>
        <w:rPr>
          <w:rFonts w:ascii="黑体" w:hAnsi="黑体" w:eastAsia="黑体"/>
          <w:b w:val="0"/>
          <w:bCs w:val="0"/>
        </w:rPr>
      </w:pPr>
      <w:bookmarkStart w:id="98" w:name="_Toc27668_WPSOffice_Level1"/>
      <w:bookmarkStart w:id="99" w:name="_Toc27933_WPSOffice_Level2"/>
      <w:r>
        <w:rPr>
          <w:rFonts w:hint="eastAsia" w:ascii="黑体" w:hAnsi="黑体" w:eastAsia="黑体"/>
          <w:b w:val="0"/>
          <w:bCs w:val="0"/>
        </w:rPr>
        <w:t>第五节  推进现代化基础设施建设</w:t>
      </w:r>
      <w:bookmarkEnd w:id="98"/>
      <w:bookmarkEnd w:id="99"/>
    </w:p>
    <w:p>
      <w:pPr>
        <w:spacing w:line="576" w:lineRule="exact"/>
        <w:ind w:firstLine="640" w:firstLineChars="200"/>
        <w:rPr>
          <w:rFonts w:ascii="仿宋_GB2312" w:eastAsia="仿宋_GB2312"/>
          <w:sz w:val="32"/>
          <w:szCs w:val="32"/>
        </w:rPr>
      </w:pPr>
      <w:r>
        <w:rPr>
          <w:rFonts w:hint="eastAsia" w:ascii="仿宋_GB2312" w:eastAsia="仿宋_GB2312"/>
          <w:sz w:val="32"/>
          <w:szCs w:val="32"/>
        </w:rPr>
        <w:t>统筹推进交通、水利、电网等基础设施建设，加快构建功能完备、内外联畅、城镇融合的现代化基础设施体系，夯实高质量发展基础。</w:t>
      </w:r>
    </w:p>
    <w:p>
      <w:pPr>
        <w:spacing w:line="576" w:lineRule="exact"/>
        <w:ind w:firstLine="642" w:firstLineChars="200"/>
        <w:rPr>
          <w:rFonts w:ascii="楷体_GB2312" w:hAnsi="楷体" w:eastAsia="楷体_GB2312"/>
          <w:sz w:val="32"/>
          <w:szCs w:val="32"/>
        </w:rPr>
      </w:pPr>
      <w:bookmarkStart w:id="100" w:name="_Toc4956_WPSOffice_Level2"/>
      <w:r>
        <w:rPr>
          <w:rFonts w:hint="eastAsia" w:ascii="楷体_GB2312" w:hAnsi="楷体" w:eastAsia="楷体_GB2312"/>
          <w:b/>
          <w:sz w:val="32"/>
          <w:szCs w:val="32"/>
        </w:rPr>
        <w:t>健全综合立体交通体系</w:t>
      </w:r>
      <w:bookmarkEnd w:id="100"/>
      <w:r>
        <w:rPr>
          <w:rFonts w:hint="eastAsia" w:ascii="楷体_GB2312" w:hAnsi="楷体" w:eastAsia="楷体_GB2312"/>
          <w:b/>
          <w:sz w:val="32"/>
          <w:szCs w:val="32"/>
        </w:rPr>
        <w:t>。</w:t>
      </w:r>
      <w:r>
        <w:rPr>
          <w:rFonts w:hint="eastAsia" w:ascii="仿宋_GB2312" w:eastAsia="仿宋_GB2312"/>
          <w:sz w:val="32"/>
          <w:szCs w:val="32"/>
        </w:rPr>
        <w:t>以市域综合运输通道为主干，完善与周边旗市、自治区东部、东北地区通道的对接，推动铁路、公路、航空等多种运输方式融合衔接，构建互联互通、高效便捷、安全韧性的现代交通网络。推进实施G605线根河-牙克石等项目前期工作。接续实施S302线公路养护工程根河段项目，加快S204线满归至根河段公路危桥改造。开展新一轮农村公路提升行动，实施C016线X313至比利亚谷、Y001线根河至下央格气公路项目。加强航空网络建设，推进根河支线机场等项目前期工作。到2030年，铁路路网密度达到2182.58公里/万平方公里，公路路网密度达到12.78公里/百平方公里，通用机场达到2个。</w:t>
      </w:r>
    </w:p>
    <w:p>
      <w:pPr>
        <w:spacing w:line="576" w:lineRule="exact"/>
        <w:ind w:firstLine="642" w:firstLineChars="200"/>
        <w:rPr>
          <w:rFonts w:ascii="楷体_GB2312" w:hAnsi="楷体" w:eastAsia="楷体_GB2312"/>
          <w:sz w:val="32"/>
          <w:szCs w:val="32"/>
        </w:rPr>
      </w:pPr>
      <w:bookmarkStart w:id="101" w:name="_Toc3644_WPSOffice_Level2"/>
      <w:r>
        <w:rPr>
          <w:rFonts w:hint="eastAsia" w:ascii="楷体_GB2312" w:hAnsi="楷体" w:eastAsia="楷体_GB2312"/>
          <w:b/>
          <w:sz w:val="32"/>
          <w:szCs w:val="32"/>
        </w:rPr>
        <w:t>完善水利基础设施</w:t>
      </w:r>
      <w:bookmarkEnd w:id="101"/>
      <w:r>
        <w:rPr>
          <w:rFonts w:hint="eastAsia" w:ascii="楷体_GB2312" w:hAnsi="楷体" w:eastAsia="楷体_GB2312"/>
          <w:b/>
          <w:sz w:val="32"/>
          <w:szCs w:val="32"/>
        </w:rPr>
        <w:t>。</w:t>
      </w:r>
      <w:r>
        <w:rPr>
          <w:rFonts w:hint="eastAsia" w:ascii="仿宋_GB2312" w:eastAsia="仿宋_GB2312"/>
          <w:sz w:val="32"/>
          <w:szCs w:val="32"/>
        </w:rPr>
        <w:t>统筹推进水灾害、水资源、水生态、水环境治理，高效推进防洪减灾、水生态保护等任务。推进防洪工程建设，实施根河干流防洪治理工程，加强河道堤防、护岸等建设，提高防洪减灾能力。</w:t>
      </w:r>
    </w:p>
    <w:p>
      <w:pPr>
        <w:spacing w:line="576" w:lineRule="exact"/>
        <w:ind w:firstLine="642" w:firstLineChars="200"/>
        <w:rPr>
          <w:rFonts w:ascii="仿宋_GB2312" w:eastAsia="仿宋_GB2312"/>
          <w:sz w:val="32"/>
          <w:szCs w:val="32"/>
        </w:rPr>
      </w:pPr>
      <w:bookmarkStart w:id="102" w:name="_Toc4591_WPSOffice_Level2"/>
      <w:r>
        <w:rPr>
          <w:rFonts w:hint="eastAsia" w:ascii="楷体_GB2312" w:hAnsi="楷体" w:eastAsia="楷体_GB2312"/>
          <w:b/>
          <w:sz w:val="32"/>
          <w:szCs w:val="32"/>
        </w:rPr>
        <w:t>加强电网基础设施建设</w:t>
      </w:r>
      <w:bookmarkEnd w:id="102"/>
      <w:r>
        <w:rPr>
          <w:rFonts w:hint="eastAsia" w:ascii="楷体_GB2312" w:hAnsi="楷体" w:eastAsia="楷体_GB2312"/>
          <w:b/>
          <w:sz w:val="32"/>
          <w:szCs w:val="32"/>
        </w:rPr>
        <w:t>。</w:t>
      </w:r>
      <w:r>
        <w:rPr>
          <w:rFonts w:hint="eastAsia" w:ascii="仿宋_GB2312" w:eastAsia="仿宋_GB2312"/>
          <w:sz w:val="32"/>
          <w:szCs w:val="32"/>
        </w:rPr>
        <w:t>完善电网基础设施，实施金河站110kV变电站移址新建工程、福林-金河110kV线路Ⅱ回线路工程、金河－阿龙山110kV线路Ⅱ回新建工程、根河牛耳河35kV变电站主变升压工程、金河－牛耳河110kV线路工程等项目，完成根河市区10kV线路N-1联络改造，提升电网转供能力和抗故障能力。推动智能电网建设，提升数智化水平，完善配自终端和台区低压终端配置，提升对配电网运行状态的实时监测能力。加强通信网络建设，扩大中压远程通信网和低压本地通信网覆盖范围，提高通信质量和可靠性。强化民生供电保障，保障高层小区在内的住宅小区及商户供电安全。支持新型负荷接入，以适应电动汽车充电设施等新型负荷发展需求。积极接入分布式电源，提高就地消纳率，谋划储能项目填补空白，助力新型电力系统构建。</w:t>
      </w:r>
    </w:p>
    <w:p>
      <w:pPr>
        <w:spacing w:line="576" w:lineRule="exact"/>
        <w:ind w:firstLine="640" w:firstLineChars="200"/>
        <w:rPr>
          <w:rFonts w:ascii="仿宋_GB2312" w:eastAsia="仿宋_GB2312"/>
          <w:sz w:val="32"/>
          <w:szCs w:val="32"/>
        </w:rPr>
      </w:pPr>
    </w:p>
    <w:p>
      <w:pPr>
        <w:spacing w:line="576" w:lineRule="exact"/>
        <w:ind w:firstLine="640" w:firstLineChars="200"/>
        <w:rPr>
          <w:rFonts w:ascii="仿宋_GB2312" w:eastAsia="仿宋_GB2312"/>
          <w:sz w:val="32"/>
          <w:szCs w:val="32"/>
        </w:rPr>
      </w:pPr>
    </w:p>
    <w:p>
      <w:pPr>
        <w:spacing w:line="576" w:lineRule="exact"/>
        <w:ind w:firstLine="640" w:firstLineChars="200"/>
        <w:rPr>
          <w:rFonts w:ascii="仿宋_GB2312" w:eastAsia="仿宋_GB2312"/>
          <w:sz w:val="32"/>
          <w:szCs w:val="32"/>
        </w:rPr>
      </w:pPr>
    </w:p>
    <w:p>
      <w:pPr>
        <w:spacing w:line="576" w:lineRule="exact"/>
        <w:ind w:firstLine="640" w:firstLineChars="200"/>
        <w:rPr>
          <w:rFonts w:ascii="仿宋_GB2312" w:eastAsia="仿宋_GB2312"/>
          <w:sz w:val="32"/>
          <w:szCs w:val="32"/>
        </w:rPr>
      </w:pPr>
    </w:p>
    <w:tbl>
      <w:tblPr>
        <w:tblStyle w:val="30"/>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spacing w:line="480" w:lineRule="exact"/>
              <w:jc w:val="center"/>
              <w:rPr>
                <w:rFonts w:ascii="黑体" w:hAnsi="黑体" w:eastAsia="黑体" w:cs="仿宋_GB2312"/>
                <w:sz w:val="30"/>
                <w:szCs w:val="30"/>
              </w:rPr>
            </w:pPr>
            <w:r>
              <w:rPr>
                <w:rFonts w:hint="eastAsia" w:ascii="黑体" w:hAnsi="黑体" w:eastAsia="黑体" w:cs="仿宋_GB2312"/>
                <w:sz w:val="30"/>
                <w:szCs w:val="30"/>
              </w:rPr>
              <w:t xml:space="preserve">专栏6 </w:t>
            </w:r>
            <w:r>
              <w:rPr>
                <w:rFonts w:ascii="黑体" w:hAnsi="黑体" w:eastAsia="黑体" w:cs="仿宋_GB2312"/>
                <w:sz w:val="30"/>
                <w:szCs w:val="30"/>
              </w:rPr>
              <w:t>“</w:t>
            </w:r>
            <w:r>
              <w:rPr>
                <w:rFonts w:hint="eastAsia" w:ascii="黑体" w:hAnsi="黑体" w:eastAsia="黑体" w:cs="仿宋_GB2312"/>
                <w:sz w:val="30"/>
                <w:szCs w:val="30"/>
              </w:rPr>
              <w:t>十五五”重点基础设施提档升级工程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4" w:hRule="atLeast"/>
        </w:trPr>
        <w:tc>
          <w:tcPr>
            <w:tcW w:w="8522" w:type="dxa"/>
          </w:tcPr>
          <w:p>
            <w:pPr>
              <w:spacing w:line="400" w:lineRule="exact"/>
              <w:rPr>
                <w:rFonts w:cs="仿宋_GB2312" w:asciiTheme="minorEastAsia" w:hAnsiTheme="minorEastAsia" w:eastAsiaTheme="minorEastAsia"/>
                <w:sz w:val="24"/>
                <w:szCs w:val="24"/>
              </w:rPr>
            </w:pPr>
            <w:r>
              <w:rPr>
                <w:rFonts w:hint="eastAsia" w:cs="仿宋_GB2312" w:asciiTheme="minorEastAsia" w:hAnsiTheme="minorEastAsia" w:eastAsiaTheme="minorEastAsia"/>
                <w:b/>
                <w:bCs/>
                <w:sz w:val="24"/>
                <w:szCs w:val="24"/>
              </w:rPr>
              <w:t>1.铁路。</w:t>
            </w:r>
            <w:r>
              <w:rPr>
                <w:rFonts w:hint="eastAsia" w:cs="仿宋_GB2312" w:asciiTheme="minorEastAsia" w:hAnsiTheme="minorEastAsia" w:eastAsiaTheme="minorEastAsia"/>
                <w:sz w:val="24"/>
                <w:szCs w:val="24"/>
              </w:rPr>
              <w:t>重点推进满归至漠河铁路等项目。</w:t>
            </w:r>
          </w:p>
          <w:p>
            <w:pPr>
              <w:spacing w:line="400" w:lineRule="exact"/>
              <w:rPr>
                <w:rFonts w:cs="仿宋_GB2312" w:asciiTheme="minorEastAsia" w:hAnsiTheme="minorEastAsia" w:eastAsiaTheme="minorEastAsia"/>
                <w:sz w:val="24"/>
                <w:szCs w:val="24"/>
              </w:rPr>
            </w:pPr>
            <w:r>
              <w:rPr>
                <w:rFonts w:hint="eastAsia" w:cs="仿宋_GB2312" w:asciiTheme="minorEastAsia" w:hAnsiTheme="minorEastAsia" w:eastAsiaTheme="minorEastAsia"/>
                <w:b/>
                <w:bCs/>
                <w:sz w:val="24"/>
                <w:szCs w:val="24"/>
              </w:rPr>
              <w:t>2.公路。</w:t>
            </w:r>
            <w:r>
              <w:rPr>
                <w:rFonts w:hint="eastAsia" w:cs="仿宋_GB2312" w:asciiTheme="minorEastAsia" w:hAnsiTheme="minorEastAsia" w:eastAsiaTheme="minorEastAsia"/>
                <w:sz w:val="24"/>
                <w:szCs w:val="24"/>
              </w:rPr>
              <w:t>实施国省道新建改扩建、养护工程项目，重点推进国道605线根河至牙克石段、国道605线满归至根河段、省道302金河至室韦段，同步推进县乡公路、农村公路、桥梁（危桥）、连接线新建改扩建、养护工程等项目。</w:t>
            </w:r>
          </w:p>
          <w:p>
            <w:pPr>
              <w:spacing w:line="400" w:lineRule="exact"/>
              <w:rPr>
                <w:rFonts w:cs="仿宋_GB2312" w:asciiTheme="minorEastAsia" w:hAnsiTheme="minorEastAsia" w:eastAsiaTheme="minorEastAsia"/>
                <w:b/>
                <w:bCs/>
                <w:sz w:val="24"/>
                <w:szCs w:val="24"/>
              </w:rPr>
            </w:pPr>
            <w:r>
              <w:rPr>
                <w:rFonts w:hint="eastAsia" w:cs="仿宋_GB2312" w:asciiTheme="minorEastAsia" w:hAnsiTheme="minorEastAsia" w:eastAsiaTheme="minorEastAsia"/>
                <w:b/>
                <w:bCs/>
                <w:sz w:val="24"/>
                <w:szCs w:val="24"/>
              </w:rPr>
              <w:t>3.航空。</w:t>
            </w:r>
            <w:r>
              <w:rPr>
                <w:rFonts w:hint="eastAsia" w:cs="仿宋_GB2312" w:asciiTheme="minorEastAsia" w:hAnsiTheme="minorEastAsia" w:eastAsiaTheme="minorEastAsia"/>
                <w:sz w:val="24"/>
                <w:szCs w:val="24"/>
              </w:rPr>
              <w:t>重点推进根河支线机场等项目。</w:t>
            </w:r>
          </w:p>
          <w:p>
            <w:pPr>
              <w:spacing w:line="400" w:lineRule="exact"/>
              <w:rPr>
                <w:rFonts w:cs="仿宋_GB2312" w:asciiTheme="minorEastAsia" w:hAnsiTheme="minorEastAsia" w:eastAsiaTheme="minorEastAsia"/>
                <w:sz w:val="24"/>
                <w:szCs w:val="24"/>
              </w:rPr>
            </w:pPr>
            <w:r>
              <w:rPr>
                <w:rFonts w:hint="eastAsia" w:cs="仿宋_GB2312" w:asciiTheme="minorEastAsia" w:hAnsiTheme="minorEastAsia" w:eastAsiaTheme="minorEastAsia"/>
                <w:b/>
                <w:bCs/>
                <w:sz w:val="24"/>
                <w:szCs w:val="24"/>
              </w:rPr>
              <w:t>4.水利。</w:t>
            </w:r>
            <w:r>
              <w:rPr>
                <w:rFonts w:hint="eastAsia" w:cs="仿宋_GB2312" w:asciiTheme="minorEastAsia" w:hAnsiTheme="minorEastAsia" w:eastAsiaTheme="minorEastAsia"/>
                <w:sz w:val="24"/>
                <w:szCs w:val="24"/>
              </w:rPr>
              <w:t>推进森林防灭火蓄水库小型水库项目。</w:t>
            </w:r>
          </w:p>
          <w:p>
            <w:pPr>
              <w:spacing w:line="400" w:lineRule="exact"/>
              <w:rPr>
                <w:rFonts w:cs="仿宋_GB2312" w:asciiTheme="minorEastAsia" w:hAnsiTheme="minorEastAsia" w:eastAsiaTheme="minorEastAsia"/>
                <w:sz w:val="24"/>
                <w:szCs w:val="24"/>
              </w:rPr>
            </w:pPr>
            <w:r>
              <w:rPr>
                <w:rFonts w:hint="eastAsia" w:cs="仿宋_GB2312" w:asciiTheme="minorEastAsia" w:hAnsiTheme="minorEastAsia" w:eastAsiaTheme="minorEastAsia"/>
                <w:b/>
                <w:bCs/>
                <w:sz w:val="24"/>
                <w:szCs w:val="24"/>
              </w:rPr>
              <w:t>5.防洪及除险加固。</w:t>
            </w:r>
            <w:r>
              <w:rPr>
                <w:rFonts w:hint="eastAsia" w:cs="仿宋_GB2312" w:asciiTheme="minorEastAsia" w:hAnsiTheme="minorEastAsia" w:eastAsiaTheme="minorEastAsia"/>
                <w:bCs/>
                <w:sz w:val="24"/>
                <w:szCs w:val="24"/>
              </w:rPr>
              <w:t>重点推进激流河防洪治理工程，敖鲁古雅河、孟库伊河等河道治理，潮查河堤防加固工程，根河流域依克其汗河山洪沟治理工程，</w:t>
            </w:r>
            <w:r>
              <w:rPr>
                <w:rFonts w:hint="eastAsia" w:cs="仿宋_GB2312" w:asciiTheme="minorEastAsia" w:hAnsiTheme="minorEastAsia" w:eastAsiaTheme="minorEastAsia"/>
                <w:sz w:val="24"/>
                <w:szCs w:val="24"/>
              </w:rPr>
              <w:t>靠山水库除险加固等项目。</w:t>
            </w:r>
          </w:p>
          <w:p>
            <w:pPr>
              <w:spacing w:line="400" w:lineRule="exact"/>
              <w:rPr>
                <w:rFonts w:cs="仿宋_GB2312" w:asciiTheme="minorEastAsia" w:hAnsiTheme="minorEastAsia" w:eastAsiaTheme="minorEastAsia"/>
                <w:sz w:val="24"/>
                <w:szCs w:val="24"/>
              </w:rPr>
            </w:pPr>
            <w:r>
              <w:rPr>
                <w:rFonts w:hint="eastAsia" w:cs="仿宋_GB2312" w:asciiTheme="minorEastAsia" w:hAnsiTheme="minorEastAsia" w:eastAsiaTheme="minorEastAsia"/>
                <w:b/>
                <w:bCs/>
                <w:sz w:val="24"/>
                <w:szCs w:val="24"/>
              </w:rPr>
              <w:t>6.供水保障。</w:t>
            </w:r>
            <w:r>
              <w:rPr>
                <w:rFonts w:hint="eastAsia" w:cs="仿宋_GB2312" w:asciiTheme="minorEastAsia" w:hAnsiTheme="minorEastAsia" w:eastAsiaTheme="minorEastAsia"/>
                <w:sz w:val="24"/>
                <w:szCs w:val="24"/>
              </w:rPr>
              <w:t>重点推进城乡供水一体化、供水保障工程、小型供水工程、小型引调水工程、饮水安全工程、自来水标准化等项目。</w:t>
            </w:r>
          </w:p>
          <w:p>
            <w:pPr>
              <w:spacing w:line="400" w:lineRule="exact"/>
              <w:rPr>
                <w:rFonts w:ascii="仿宋_GB2312" w:hAnsi="仿宋_GB2312" w:eastAsia="仿宋_GB2312" w:cs="仿宋_GB2312"/>
                <w:sz w:val="32"/>
                <w:szCs w:val="32"/>
              </w:rPr>
            </w:pPr>
            <w:r>
              <w:rPr>
                <w:rFonts w:hint="eastAsia" w:cs="仿宋_GB2312" w:asciiTheme="minorEastAsia" w:hAnsiTheme="minorEastAsia" w:eastAsiaTheme="minorEastAsia"/>
                <w:b/>
                <w:sz w:val="24"/>
                <w:szCs w:val="24"/>
              </w:rPr>
              <w:t>7.电网基础设施。</w:t>
            </w:r>
            <w:r>
              <w:rPr>
                <w:rFonts w:hint="eastAsia" w:cs="仿宋_GB2312" w:asciiTheme="minorEastAsia" w:hAnsiTheme="minorEastAsia" w:eastAsiaTheme="minorEastAsia"/>
                <w:sz w:val="24"/>
                <w:szCs w:val="24"/>
              </w:rPr>
              <w:t>谋划实施金河站110kV变电站移址新建工程、福林-金河110kV线路Ⅱ回线路工程、金河－阿龙山110kV线路Ⅱ回新建工程、根河牛耳河35</w:t>
            </w:r>
            <w:r>
              <w:rPr>
                <w:rFonts w:cs="仿宋_GB2312" w:asciiTheme="minorEastAsia" w:hAnsiTheme="minorEastAsia" w:eastAsiaTheme="minorEastAsia"/>
                <w:sz w:val="24"/>
                <w:szCs w:val="24"/>
              </w:rPr>
              <w:t>kV</w:t>
            </w:r>
            <w:r>
              <w:rPr>
                <w:rFonts w:hint="eastAsia" w:cs="仿宋_GB2312" w:asciiTheme="minorEastAsia" w:hAnsiTheme="minorEastAsia" w:eastAsiaTheme="minorEastAsia"/>
                <w:sz w:val="24"/>
                <w:szCs w:val="24"/>
              </w:rPr>
              <w:t>变电站主变升压工程、金河</w:t>
            </w:r>
            <w:r>
              <w:rPr>
                <w:rFonts w:cs="仿宋_GB2312" w:asciiTheme="minorEastAsia" w:hAnsiTheme="minorEastAsia" w:eastAsiaTheme="minorEastAsia"/>
                <w:sz w:val="24"/>
                <w:szCs w:val="24"/>
              </w:rPr>
              <w:t>-</w:t>
            </w:r>
            <w:r>
              <w:rPr>
                <w:rFonts w:hint="eastAsia" w:cs="仿宋_GB2312" w:asciiTheme="minorEastAsia" w:hAnsiTheme="minorEastAsia" w:eastAsiaTheme="minorEastAsia"/>
                <w:sz w:val="24"/>
                <w:szCs w:val="24"/>
              </w:rPr>
              <w:t>牛耳河110kV线路工程等项目。</w:t>
            </w:r>
          </w:p>
        </w:tc>
      </w:tr>
    </w:tbl>
    <w:p>
      <w:pPr>
        <w:pStyle w:val="12"/>
        <w:spacing w:before="0" w:after="0"/>
        <w:outlineLvl w:val="9"/>
        <w:rPr>
          <w:rFonts w:ascii="方正小标宋简体" w:hAnsi="黑体" w:eastAsia="方正小标宋简体"/>
          <w:b w:val="0"/>
          <w:sz w:val="36"/>
          <w:szCs w:val="36"/>
        </w:rPr>
      </w:pPr>
      <w:bookmarkStart w:id="103" w:name="_Toc25532_WPSOffice_Level1"/>
      <w:bookmarkStart w:id="104" w:name="_Toc23091_WPSOffice_Level1"/>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r>
        <w:rPr>
          <w:rFonts w:hint="eastAsia" w:ascii="方正小标宋简体" w:hAnsi="黑体" w:eastAsia="方正小标宋简体"/>
          <w:b w:val="0"/>
          <w:sz w:val="36"/>
          <w:szCs w:val="36"/>
        </w:rPr>
        <w:t>第十章  加强科技教育人才事业发展</w:t>
      </w:r>
    </w:p>
    <w:p>
      <w:pPr>
        <w:pStyle w:val="12"/>
        <w:spacing w:before="0" w:after="0"/>
        <w:outlineLvl w:val="9"/>
        <w:rPr>
          <w:rFonts w:ascii="方正小标宋简体" w:hAnsi="黑体" w:eastAsia="方正小标宋简体"/>
          <w:b w:val="0"/>
          <w:sz w:val="36"/>
          <w:szCs w:val="36"/>
        </w:rPr>
      </w:pPr>
      <w:r>
        <w:rPr>
          <w:rFonts w:hint="eastAsia" w:ascii="方正小标宋简体" w:hAnsi="黑体" w:eastAsia="方正小标宋简体"/>
          <w:b w:val="0"/>
          <w:sz w:val="36"/>
          <w:szCs w:val="36"/>
        </w:rPr>
        <w:t>塑造发展新动能</w:t>
      </w:r>
      <w:bookmarkEnd w:id="103"/>
      <w:bookmarkEnd w:id="104"/>
    </w:p>
    <w:p>
      <w:pPr>
        <w:spacing w:line="576" w:lineRule="exact"/>
        <w:ind w:firstLine="640" w:firstLineChars="200"/>
        <w:rPr>
          <w:rFonts w:ascii="仿宋_GB2312" w:eastAsia="仿宋_GB2312"/>
          <w:sz w:val="32"/>
          <w:szCs w:val="32"/>
        </w:rPr>
      </w:pPr>
    </w:p>
    <w:p>
      <w:pPr>
        <w:spacing w:line="576" w:lineRule="exact"/>
        <w:ind w:firstLine="640" w:firstLineChars="200"/>
        <w:rPr>
          <w:rFonts w:ascii="仿宋_GB2312" w:eastAsia="仿宋_GB2312"/>
          <w:sz w:val="32"/>
          <w:szCs w:val="32"/>
        </w:rPr>
      </w:pPr>
      <w:r>
        <w:rPr>
          <w:rFonts w:hint="eastAsia" w:ascii="仿宋_GB2312" w:eastAsia="仿宋_GB2312"/>
          <w:sz w:val="32"/>
          <w:szCs w:val="32"/>
        </w:rPr>
        <w:t>深入落实创新驱动发展战略，以创新增强发展动力，持续推进科技创新，坚持教育优先发展，全力补齐各阶段教育发展短板，全面提高人才引进质效，激发高质量发展活力。构建覆盖全领域的数字赋能体系，推动经济社会运行向智能化、高效化跃升。</w:t>
      </w:r>
    </w:p>
    <w:p>
      <w:pPr>
        <w:pStyle w:val="12"/>
        <w:spacing w:before="0" w:after="0" w:line="576" w:lineRule="exact"/>
        <w:outlineLvl w:val="9"/>
        <w:rPr>
          <w:rFonts w:ascii="黑体" w:hAnsi="黑体" w:eastAsia="黑体"/>
          <w:b w:val="0"/>
          <w:bCs w:val="0"/>
        </w:rPr>
      </w:pPr>
      <w:bookmarkStart w:id="105" w:name="_Toc12017_WPSOffice_Level2"/>
      <w:bookmarkStart w:id="106" w:name="_Toc31181_WPSOffice_Level2"/>
      <w:r>
        <w:rPr>
          <w:rFonts w:hint="eastAsia" w:ascii="黑体" w:hAnsi="黑体" w:eastAsia="黑体"/>
          <w:b w:val="0"/>
          <w:bCs w:val="0"/>
        </w:rPr>
        <w:t>第一节  强化科技创新引领</w:t>
      </w:r>
      <w:bookmarkEnd w:id="105"/>
      <w:bookmarkEnd w:id="106"/>
    </w:p>
    <w:p>
      <w:pPr>
        <w:spacing w:line="576" w:lineRule="exact"/>
        <w:ind w:firstLine="640" w:firstLineChars="200"/>
        <w:rPr>
          <w:rFonts w:ascii="仿宋_GB2312" w:eastAsia="仿宋_GB2312"/>
          <w:sz w:val="32"/>
          <w:szCs w:val="32"/>
        </w:rPr>
      </w:pPr>
      <w:r>
        <w:rPr>
          <w:rFonts w:hint="eastAsia" w:ascii="仿宋_GB2312" w:eastAsia="仿宋_GB2312"/>
          <w:sz w:val="32"/>
          <w:szCs w:val="32"/>
        </w:rPr>
        <w:t>坚持创新在现代化建设全局中的核心地位，加强科技创新平台建设，深化产学研合作，提升科技创新能力。</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深化产学研合作。</w:t>
      </w:r>
      <w:r>
        <w:rPr>
          <w:rFonts w:hint="eastAsia" w:ascii="仿宋_GB2312" w:eastAsia="仿宋_GB2312"/>
          <w:sz w:val="32"/>
          <w:szCs w:val="32"/>
        </w:rPr>
        <w:t>聚焦特色优势产业和发展亟需领域，推动科技创新和产业创新深度融合，重点在冷资源开发、节能降碳、生态产品价值等领域形成更多科技成果，提升创新体系整体效能。加强与内蒙古大学、中国林业科学研究院等高校科研院所合作，开展生态保护、林下经济等领域的合作研究，推动科技成果转化。支持企业开展自主创新，鼓励企业加大研发投入，推动更多企业纳入自治区和呼伦贝尔市科技型中小企业名单。</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优化科技创新生态。</w:t>
      </w:r>
      <w:r>
        <w:rPr>
          <w:rFonts w:hint="eastAsia" w:ascii="仿宋_GB2312" w:eastAsia="仿宋_GB2312"/>
          <w:sz w:val="32"/>
          <w:szCs w:val="32"/>
        </w:rPr>
        <w:t>落实创新驱动发展战略，强化企业科技创新主体地位。深化科学技术普及，加大政府科技创新投入和科普经费投入，完善科普基础设施建设。依托科技馆及其他科普教育基地和图书馆、博物馆、文化馆等场所，促进科普、文化、旅游深度融合，文化与科技双向赋能。加强知识产权保护，建立知识产权维权援助机制，严厉打击知识产权侵权行为，为企业提供良好的创新环境。</w:t>
      </w:r>
    </w:p>
    <w:p>
      <w:pPr>
        <w:pStyle w:val="12"/>
        <w:spacing w:before="0" w:after="0" w:line="576" w:lineRule="exact"/>
        <w:outlineLvl w:val="9"/>
        <w:rPr>
          <w:rFonts w:ascii="黑体" w:hAnsi="黑体" w:eastAsia="黑体"/>
          <w:b w:val="0"/>
          <w:bCs w:val="0"/>
        </w:rPr>
      </w:pPr>
      <w:bookmarkStart w:id="107" w:name="_Toc14721_WPSOffice_Level2"/>
      <w:bookmarkStart w:id="108" w:name="_Toc27567_WPSOffice_Level2"/>
      <w:r>
        <w:rPr>
          <w:rFonts w:hint="eastAsia" w:ascii="黑体" w:hAnsi="黑体" w:eastAsia="黑体"/>
          <w:b w:val="0"/>
          <w:bCs w:val="0"/>
        </w:rPr>
        <w:t>第二节  扎实推进教育水平提升</w:t>
      </w:r>
      <w:bookmarkEnd w:id="107"/>
      <w:bookmarkEnd w:id="108"/>
    </w:p>
    <w:p>
      <w:pPr>
        <w:spacing w:line="576" w:lineRule="exact"/>
        <w:ind w:firstLine="629" w:firstLineChars="196"/>
        <w:rPr>
          <w:rFonts w:ascii="楷体_GB2312" w:eastAsia="楷体_GB2312"/>
          <w:b/>
          <w:sz w:val="32"/>
          <w:szCs w:val="32"/>
        </w:rPr>
      </w:pPr>
      <w:r>
        <w:rPr>
          <w:rFonts w:hint="eastAsia" w:ascii="楷体_GB2312" w:hAnsi="楷体" w:eastAsia="楷体_GB2312"/>
          <w:b/>
          <w:sz w:val="32"/>
          <w:szCs w:val="32"/>
        </w:rPr>
        <w:t>加强教育教学管理。</w:t>
      </w:r>
      <w:r>
        <w:rPr>
          <w:rFonts w:hint="eastAsia" w:ascii="仿宋_GB2312" w:eastAsia="仿宋_GB2312"/>
          <w:sz w:val="32"/>
          <w:szCs w:val="32"/>
        </w:rPr>
        <w:t>将铸牢中华民族共同体意识教育有效融入课堂教育，全面推行使用国家统编教材，坚定不移推广普及国家通用语言文字。落实义务教育、普通高中课程方案和课程标准，强化课堂主阵地作用，持续巩固“双减”成果，全面提升课堂教学水平，提高课后服务质量。全面规范校外培训行为，严肃查处教师校外有偿补课行为。优化教育发展保障，全面推进依法治教、依法治校，优化教育基础保障，加快教育信息化建设。落实校园安全工作责任制和事故责任追究制，制定突发事件应急预案，加强校园安全管理。实施校园食品安全守护行动，加大对学校食堂、校园周边餐饮门店及食品销售单位监督检查力度，防范发生群体性食源性疾病事件。</w:t>
      </w:r>
    </w:p>
    <w:p>
      <w:pPr>
        <w:spacing w:line="576" w:lineRule="exact"/>
        <w:ind w:firstLine="629" w:firstLineChars="196"/>
        <w:rPr>
          <w:rFonts w:ascii="仿宋_GB2312" w:eastAsia="仿宋_GB2312"/>
          <w:sz w:val="32"/>
          <w:szCs w:val="32"/>
        </w:rPr>
      </w:pPr>
      <w:r>
        <w:rPr>
          <w:rFonts w:hint="eastAsia" w:ascii="楷体_GB2312" w:hAnsi="楷体" w:eastAsia="楷体_GB2312"/>
          <w:b/>
          <w:sz w:val="32"/>
          <w:szCs w:val="32"/>
        </w:rPr>
        <w:t>全面提升教育教学质量。</w:t>
      </w:r>
      <w:r>
        <w:rPr>
          <w:rFonts w:hint="eastAsia" w:ascii="仿宋_GB2312" w:eastAsia="仿宋_GB2312"/>
          <w:sz w:val="32"/>
          <w:szCs w:val="32"/>
        </w:rPr>
        <w:t>完善幼儿园规范管理机制，引导幼儿园提高保育教育质量，规范办园秩序。加快幼儿园与小学有效衔接，提高入学准备和入学适应教育的有效性。促进学前教育普及普惠发展，2026年普惠率达到100%。到2030年，普惠性幼儿园覆盖率稳定在90%左右。聚焦特殊教育发展，切实保障适龄残疾儿童受教育权利。完善义务教育学校管理机制，以及义务教育学校教师“县管校聘”管理机制，促进骨干教师交流轮岗和优质教育资源共享。实施普通高中振兴计划，改善普通高中办学薄弱环节，提升教学条件和生活条件。深化高中课程教学改革，完善选课走班、综合素质评价和学生发展指导，加强特色学科建设，满足学生个性化发展需求。统筹职业教育、继续教育协同创新。</w:t>
      </w:r>
    </w:p>
    <w:p>
      <w:pPr>
        <w:spacing w:line="576" w:lineRule="exact"/>
        <w:ind w:firstLine="629" w:firstLineChars="196"/>
        <w:rPr>
          <w:rFonts w:ascii="仿宋_GB2312" w:eastAsia="仿宋_GB2312"/>
          <w:sz w:val="32"/>
          <w:szCs w:val="32"/>
        </w:rPr>
      </w:pPr>
      <w:r>
        <w:rPr>
          <w:rFonts w:hint="eastAsia" w:ascii="楷体_GB2312" w:hAnsi="楷体" w:eastAsia="楷体_GB2312"/>
          <w:b/>
          <w:sz w:val="32"/>
          <w:szCs w:val="32"/>
        </w:rPr>
        <w:t>强化教师队伍建设和教育改革。</w:t>
      </w:r>
      <w:r>
        <w:rPr>
          <w:rFonts w:hint="eastAsia" w:ascii="仿宋_GB2312" w:eastAsia="仿宋_GB2312"/>
          <w:sz w:val="32"/>
          <w:szCs w:val="32"/>
        </w:rPr>
        <w:t>落实《根河市乡村教师队伍建设工作实施方案》，建设高质量教师队伍，加强教师思想政治建设、师德师风建设，完善师德考核机制。在资格准入、职称评聘、评优奖励等工作中严格落实师德师风第一标准。加大教育教学投入力度，保障教师工资待遇，落实乡镇教师享受乡镇工作补贴、艰苦边远地区津贴等政策。深化考试招生改革，保障适龄幼儿就近就便接受普惠性学前教育，巩固义务教育免试就近入学改革成果，推进普通高中完善“初中学业水平考试+综合素质评价”的招生录取模式。完善学生资助体系，落实义务教育“两免一补”政策，对符合条件的普通高中家庭经济困难学生、中等职业教育在校生提供国家助学金、免除学杂费。推进国家中小学智慧教育平台应用，在教育教学中全流程使用国家平台优质教育资源。</w:t>
      </w:r>
    </w:p>
    <w:tbl>
      <w:tblPr>
        <w:tblStyle w:val="1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spacing w:line="576" w:lineRule="exact"/>
              <w:jc w:val="center"/>
              <w:rPr>
                <w:rFonts w:ascii="黑体" w:hAnsi="黑体" w:eastAsia="黑体" w:cs="黑体"/>
                <w:sz w:val="28"/>
                <w:szCs w:val="28"/>
              </w:rPr>
            </w:pPr>
            <w:r>
              <w:rPr>
                <w:rFonts w:hint="eastAsia" w:ascii="黑体" w:hAnsi="黑体" w:eastAsia="黑体" w:cs="黑体"/>
                <w:sz w:val="28"/>
                <w:szCs w:val="28"/>
              </w:rPr>
              <w:t>专栏7“十五五”教育现代化工程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pPr>
              <w:spacing w:line="400" w:lineRule="exact"/>
              <w:jc w:val="left"/>
              <w:rPr>
                <w:rFonts w:cs="黑体" w:asciiTheme="minorEastAsia" w:hAnsiTheme="minorEastAsia" w:eastAsiaTheme="minorEastAsia"/>
                <w:b/>
                <w:sz w:val="24"/>
                <w:szCs w:val="24"/>
              </w:rPr>
            </w:pPr>
            <w:r>
              <w:rPr>
                <w:rFonts w:hint="eastAsia" w:cs="黑体" w:asciiTheme="minorEastAsia" w:hAnsiTheme="minorEastAsia" w:eastAsiaTheme="minorEastAsia"/>
                <w:b/>
                <w:sz w:val="24"/>
                <w:szCs w:val="24"/>
              </w:rPr>
              <w:t>1.幼儿园。</w:t>
            </w:r>
            <w:r>
              <w:rPr>
                <w:rFonts w:hint="eastAsia" w:cs="黑体" w:asciiTheme="minorEastAsia" w:hAnsiTheme="minorEastAsia" w:eastAsiaTheme="minorEastAsia"/>
                <w:sz w:val="24"/>
                <w:szCs w:val="24"/>
              </w:rPr>
              <w:t>谋划推进学前普及普惠县达标项目。</w:t>
            </w:r>
          </w:p>
          <w:p>
            <w:pPr>
              <w:spacing w:line="400" w:lineRule="exact"/>
              <w:jc w:val="left"/>
              <w:rPr>
                <w:rFonts w:cs="仿宋_GB2312" w:asciiTheme="minorEastAsia" w:hAnsiTheme="minorEastAsia" w:eastAsiaTheme="minorEastAsia"/>
                <w:sz w:val="24"/>
                <w:szCs w:val="24"/>
              </w:rPr>
            </w:pPr>
            <w:r>
              <w:rPr>
                <w:rFonts w:hint="eastAsia" w:cs="黑体" w:asciiTheme="minorEastAsia" w:hAnsiTheme="minorEastAsia" w:eastAsiaTheme="minorEastAsia"/>
                <w:b/>
                <w:sz w:val="24"/>
                <w:szCs w:val="24"/>
              </w:rPr>
              <w:t>2.中小学。</w:t>
            </w:r>
            <w:r>
              <w:rPr>
                <w:rFonts w:hint="eastAsia" w:cs="黑体" w:asciiTheme="minorEastAsia" w:hAnsiTheme="minorEastAsia" w:eastAsiaTheme="minorEastAsia"/>
                <w:sz w:val="24"/>
                <w:szCs w:val="24"/>
              </w:rPr>
              <w:t>谋划推进义务教育优质均衡县创建项目。</w:t>
            </w:r>
            <w:r>
              <w:rPr>
                <w:rFonts w:hint="eastAsia" w:cs="仿宋_GB2312" w:asciiTheme="minorEastAsia" w:hAnsiTheme="minorEastAsia" w:eastAsiaTheme="minorEastAsia"/>
                <w:sz w:val="24"/>
                <w:szCs w:val="24"/>
              </w:rPr>
              <w:t>重点推进根河市满归镇、阿龙山镇、金河镇、得耳布尔镇四个乡镇中小学塑胶运动场地建设项目，以及根河市第一中学校园校舍维修改造项目。</w:t>
            </w:r>
          </w:p>
          <w:p>
            <w:pPr>
              <w:spacing w:line="400" w:lineRule="exact"/>
              <w:jc w:val="left"/>
              <w:rPr>
                <w:rFonts w:cs="仿宋_GB2312" w:asciiTheme="minorEastAsia" w:hAnsiTheme="minorEastAsia" w:eastAsiaTheme="minorEastAsia"/>
                <w:sz w:val="24"/>
                <w:szCs w:val="24"/>
              </w:rPr>
            </w:pPr>
            <w:r>
              <w:rPr>
                <w:rFonts w:hint="eastAsia" w:cs="黑体" w:asciiTheme="minorEastAsia" w:hAnsiTheme="minorEastAsia" w:eastAsiaTheme="minorEastAsia"/>
                <w:b/>
                <w:sz w:val="24"/>
                <w:szCs w:val="24"/>
              </w:rPr>
              <w:t>3.高中。</w:t>
            </w:r>
            <w:r>
              <w:rPr>
                <w:rFonts w:hint="eastAsia" w:cs="仿宋_GB2312" w:asciiTheme="minorEastAsia" w:hAnsiTheme="minorEastAsia" w:eastAsiaTheme="minorEastAsia"/>
                <w:sz w:val="24"/>
                <w:szCs w:val="24"/>
              </w:rPr>
              <w:t>推进实施根河市第二中学综合楼建设项目。</w:t>
            </w:r>
          </w:p>
        </w:tc>
      </w:tr>
    </w:tbl>
    <w:p>
      <w:pPr>
        <w:pStyle w:val="12"/>
        <w:spacing w:before="0" w:after="0" w:line="576" w:lineRule="exact"/>
        <w:outlineLvl w:val="9"/>
        <w:rPr>
          <w:rFonts w:ascii="黑体" w:hAnsi="黑体" w:eastAsia="黑体"/>
          <w:b w:val="0"/>
          <w:bCs w:val="0"/>
        </w:rPr>
      </w:pPr>
      <w:bookmarkStart w:id="109" w:name="_Toc26553_WPSOffice_Level2"/>
      <w:bookmarkStart w:id="110" w:name="_Toc25583_WPSOffice_Level2"/>
      <w:r>
        <w:rPr>
          <w:rFonts w:hint="eastAsia" w:ascii="黑体" w:hAnsi="黑体" w:eastAsia="黑体"/>
          <w:b w:val="0"/>
          <w:bCs w:val="0"/>
        </w:rPr>
        <w:t>第三节  深入实施新时代人才强国战略</w:t>
      </w:r>
      <w:bookmarkEnd w:id="109"/>
      <w:bookmarkEnd w:id="110"/>
    </w:p>
    <w:p>
      <w:pPr>
        <w:spacing w:line="556" w:lineRule="exact"/>
        <w:ind w:firstLine="640" w:firstLineChars="200"/>
        <w:rPr>
          <w:rFonts w:ascii="仿宋_GB2312" w:eastAsia="仿宋_GB2312"/>
          <w:sz w:val="32"/>
          <w:szCs w:val="32"/>
        </w:rPr>
      </w:pPr>
      <w:r>
        <w:rPr>
          <w:rFonts w:hint="eastAsia" w:ascii="仿宋_GB2312" w:eastAsia="仿宋_GB2312"/>
          <w:sz w:val="32"/>
          <w:szCs w:val="32"/>
        </w:rPr>
        <w:t>坚持党管人才原则，坚持培养与引进相结合、引才与引智相结合，引进人才、培养人才、使用人才、保障人才、激励人才。</w:t>
      </w:r>
    </w:p>
    <w:p>
      <w:pPr>
        <w:spacing w:line="556" w:lineRule="exact"/>
        <w:ind w:firstLine="642" w:firstLineChars="200"/>
        <w:rPr>
          <w:rFonts w:ascii="仿宋_GB2312" w:eastAsia="仿宋_GB2312"/>
          <w:sz w:val="32"/>
          <w:szCs w:val="32"/>
        </w:rPr>
      </w:pPr>
      <w:r>
        <w:rPr>
          <w:rFonts w:hint="eastAsia" w:ascii="楷体_GB2312" w:hAnsi="楷体" w:eastAsia="楷体_GB2312"/>
          <w:b/>
          <w:sz w:val="32"/>
          <w:szCs w:val="32"/>
        </w:rPr>
        <w:t>加大开放灵活引才力度。</w:t>
      </w:r>
      <w:r>
        <w:rPr>
          <w:rFonts w:hint="eastAsia" w:ascii="仿宋_GB2312" w:eastAsia="仿宋_GB2312"/>
          <w:sz w:val="32"/>
          <w:szCs w:val="32"/>
        </w:rPr>
        <w:t>建立健全人才柔性流动机制，推广顾问指导、兼职服务、“候鸟式”聘任等方式，柔性引进专家团队和专家人才，储备科研、测试等项目。推进将急需紧缺技能人才纳入人才引进目录。制定出台人才引进激励政策，引进冰雪经济、极寒测试、生态保护、文化旅游等领域高端人才。适当降低基层公务员进入门槛，合理设置基层事业单位招聘条件。</w:t>
      </w:r>
    </w:p>
    <w:p>
      <w:pPr>
        <w:spacing w:line="556" w:lineRule="exact"/>
        <w:ind w:firstLine="642" w:firstLineChars="200"/>
        <w:rPr>
          <w:rFonts w:ascii="仿宋_GB2312" w:eastAsia="仿宋_GB2312"/>
          <w:sz w:val="32"/>
          <w:szCs w:val="32"/>
        </w:rPr>
      </w:pPr>
      <w:r>
        <w:rPr>
          <w:rFonts w:hint="eastAsia" w:ascii="楷体_GB2312" w:hAnsi="楷体" w:eastAsia="楷体_GB2312"/>
          <w:b/>
          <w:sz w:val="32"/>
          <w:szCs w:val="32"/>
        </w:rPr>
        <w:t>加大高素质人才培养力度。</w:t>
      </w:r>
      <w:r>
        <w:rPr>
          <w:rFonts w:hint="eastAsia" w:ascii="仿宋_GB2312" w:eastAsia="仿宋_GB2312"/>
          <w:sz w:val="32"/>
          <w:szCs w:val="32"/>
        </w:rPr>
        <w:t>加强顶层设计，搭建高水平人才平台，加大急需紧缺人才培养力度，着力打造“冷极人才”队伍，重点加强林下经济产品开发、旅游规划、应急管理、碳汇交易、自然资源管理与生态保护、经营管理等本土人才培养，引导各类人才向基层一线流动。</w:t>
      </w:r>
    </w:p>
    <w:p>
      <w:pPr>
        <w:spacing w:line="556" w:lineRule="exact"/>
        <w:ind w:firstLine="642" w:firstLineChars="200"/>
        <w:rPr>
          <w:rFonts w:ascii="仿宋_GB2312" w:eastAsia="仿宋_GB2312"/>
          <w:sz w:val="32"/>
          <w:szCs w:val="32"/>
        </w:rPr>
      </w:pPr>
      <w:r>
        <w:rPr>
          <w:rFonts w:hint="eastAsia" w:ascii="楷体_GB2312" w:hAnsi="楷体" w:eastAsia="楷体_GB2312"/>
          <w:b/>
          <w:sz w:val="32"/>
          <w:szCs w:val="32"/>
        </w:rPr>
        <w:t>用好用活各类人才。</w:t>
      </w:r>
      <w:r>
        <w:rPr>
          <w:rFonts w:hint="eastAsia" w:ascii="仿宋_GB2312" w:eastAsia="仿宋_GB2312"/>
          <w:sz w:val="32"/>
          <w:szCs w:val="32"/>
        </w:rPr>
        <w:t>完善人才分类评价机制，健全以能力、质量、实效、贡献为导向的分类评价体系。加大优秀人才选树表彰和宣传力度，探索建立科技创新奖励制度，营造礼敬人才、重用人才、服务人才的浓厚氛围，激发人才创新活力。</w:t>
      </w:r>
    </w:p>
    <w:p>
      <w:pPr>
        <w:pStyle w:val="12"/>
        <w:spacing w:before="0" w:after="0" w:line="576" w:lineRule="exact"/>
        <w:outlineLvl w:val="9"/>
        <w:rPr>
          <w:rFonts w:ascii="黑体" w:hAnsi="黑体" w:eastAsia="黑体"/>
          <w:b w:val="0"/>
          <w:bCs w:val="0"/>
        </w:rPr>
      </w:pPr>
      <w:bookmarkStart w:id="111" w:name="_Toc29183_WPSOffice_Level2"/>
      <w:bookmarkStart w:id="112" w:name="_Toc31163_WPSOffice_Level2"/>
      <w:r>
        <w:rPr>
          <w:rFonts w:hint="eastAsia" w:ascii="黑体" w:hAnsi="黑体" w:eastAsia="黑体"/>
          <w:b w:val="0"/>
          <w:bCs w:val="0"/>
        </w:rPr>
        <w:t>第四节  推动经济社会数字化转型</w:t>
      </w:r>
      <w:bookmarkEnd w:id="111"/>
    </w:p>
    <w:p>
      <w:pPr>
        <w:spacing w:line="556" w:lineRule="exact"/>
        <w:ind w:firstLine="642" w:firstLineChars="200"/>
        <w:rPr>
          <w:rFonts w:ascii="楷体_GB2312" w:hAnsi="楷体" w:eastAsia="楷体_GB2312"/>
          <w:sz w:val="32"/>
          <w:szCs w:val="32"/>
        </w:rPr>
      </w:pPr>
      <w:r>
        <w:rPr>
          <w:rFonts w:hint="eastAsia" w:ascii="楷体_GB2312" w:hAnsi="楷体" w:eastAsia="楷体_GB2312"/>
          <w:b/>
          <w:sz w:val="32"/>
          <w:szCs w:val="32"/>
        </w:rPr>
        <w:t>强化数字基础设施建设</w:t>
      </w:r>
      <w:bookmarkEnd w:id="112"/>
      <w:r>
        <w:rPr>
          <w:rFonts w:hint="eastAsia" w:ascii="楷体_GB2312" w:hAnsi="楷体" w:eastAsia="楷体_GB2312"/>
          <w:b/>
          <w:sz w:val="32"/>
          <w:szCs w:val="32"/>
        </w:rPr>
        <w:t>。</w:t>
      </w:r>
      <w:r>
        <w:rPr>
          <w:rFonts w:hint="eastAsia" w:ascii="仿宋_GB2312" w:eastAsia="仿宋_GB2312"/>
          <w:sz w:val="32"/>
          <w:szCs w:val="32"/>
        </w:rPr>
        <w:t>对传统基础设施进行改造和赋能，科学布局宽带基础网络等基础设施，加强基站建设，提升通信信号覆盖率，深入实施“信号升格”专项行动，确保乡镇、旅游景区景点和林区重点区域5G信号全覆盖，提升通讯信号强度。到2030年，实现全市重点区域5G网络和千兆光网全覆盖。</w:t>
      </w:r>
    </w:p>
    <w:p>
      <w:pPr>
        <w:spacing w:line="556" w:lineRule="exact"/>
        <w:ind w:firstLine="642" w:firstLineChars="200"/>
        <w:rPr>
          <w:rFonts w:ascii="楷体_GB2312" w:hAnsi="楷体" w:eastAsia="楷体_GB2312"/>
          <w:sz w:val="32"/>
          <w:szCs w:val="32"/>
        </w:rPr>
      </w:pPr>
      <w:bookmarkStart w:id="113" w:name="_Toc17412_WPSOffice_Level2"/>
      <w:r>
        <w:rPr>
          <w:rFonts w:hint="eastAsia" w:ascii="楷体_GB2312" w:hAnsi="楷体" w:eastAsia="楷体_GB2312"/>
          <w:b/>
          <w:sz w:val="32"/>
          <w:szCs w:val="32"/>
        </w:rPr>
        <w:t>推进数字经济与实体经济深度融合</w:t>
      </w:r>
      <w:bookmarkEnd w:id="113"/>
      <w:r>
        <w:rPr>
          <w:rFonts w:hint="eastAsia" w:ascii="楷体_GB2312" w:hAnsi="楷体" w:eastAsia="楷体_GB2312"/>
          <w:b/>
          <w:sz w:val="32"/>
          <w:szCs w:val="32"/>
        </w:rPr>
        <w:t>。</w:t>
      </w:r>
      <w:r>
        <w:rPr>
          <w:rFonts w:hint="eastAsia" w:ascii="仿宋_GB2312" w:eastAsia="仿宋_GB2312"/>
          <w:sz w:val="32"/>
          <w:szCs w:val="32"/>
        </w:rPr>
        <w:t>深入实施“人工智能+”行动，推动人工智能广泛应用于文旅、农牧、生态等领域，引导企业在节能环保、矿产开发、现代物流发展中应用信息化技术，在产业数字化、数字产业化领域布局项目、形成优势。</w:t>
      </w:r>
    </w:p>
    <w:p>
      <w:pPr>
        <w:spacing w:line="556" w:lineRule="exact"/>
        <w:ind w:firstLine="642" w:firstLineChars="200"/>
        <w:rPr>
          <w:rFonts w:ascii="仿宋_GB2312" w:eastAsia="仿宋_GB2312"/>
          <w:sz w:val="32"/>
          <w:szCs w:val="32"/>
        </w:rPr>
      </w:pPr>
      <w:bookmarkStart w:id="114" w:name="_Toc8525_WPSOffice_Level2"/>
      <w:r>
        <w:rPr>
          <w:rFonts w:hint="eastAsia" w:ascii="楷体_GB2312" w:hAnsi="楷体" w:eastAsia="楷体_GB2312"/>
          <w:b/>
          <w:sz w:val="32"/>
          <w:szCs w:val="32"/>
        </w:rPr>
        <w:t>加强数字政府建设</w:t>
      </w:r>
      <w:bookmarkEnd w:id="114"/>
      <w:r>
        <w:rPr>
          <w:rFonts w:hint="eastAsia" w:ascii="楷体_GB2312" w:hAnsi="楷体" w:eastAsia="楷体_GB2312"/>
          <w:b/>
          <w:sz w:val="32"/>
          <w:szCs w:val="32"/>
        </w:rPr>
        <w:t>。</w:t>
      </w:r>
      <w:r>
        <w:rPr>
          <w:rFonts w:hint="eastAsia" w:ascii="仿宋_GB2312" w:eastAsia="仿宋_GB2312"/>
          <w:sz w:val="32"/>
          <w:szCs w:val="32"/>
        </w:rPr>
        <w:t>以政务网络全域覆盖为目标，升级电子政务外网，提升政务服务效能与治理水平，推进跨部门数据共享与业务协同，构建高效便捷的数字政务新格局。提高“互联网+政务服务”效能，加快数字身份统一认证和电子证照、电子签章、电子公文等互信互认，促进政务数据共享、流程优化和业务协同，实现市、乡镇街道全覆盖，社区按需接入，非涉密专网“应并尽并”。到2030年，市、乡镇街道政务外网覆盖率达100%。扩大公共数据资源供给，有序推动公共数据开放，编制公布开放目录并动态更新。开展数据分级分类管理，推动用于公共治理、公共事业的公共数据产品和服务有条件无偿使用。到2030年，公共数据在赋能实体经济、扩大消费需求、拓展投资空间、提升治理能力中的要素作用充分发挥。</w:t>
      </w:r>
    </w:p>
    <w:p>
      <w:pPr>
        <w:spacing w:line="556" w:lineRule="exact"/>
        <w:ind w:firstLine="642" w:firstLineChars="200"/>
        <w:rPr>
          <w:rFonts w:ascii="仿宋_GB2312" w:eastAsia="仿宋_GB2312"/>
          <w:sz w:val="32"/>
          <w:szCs w:val="32"/>
        </w:rPr>
      </w:pPr>
      <w:r>
        <w:rPr>
          <w:rFonts w:hint="eastAsia" w:ascii="楷体_GB2312" w:hAnsi="楷体" w:eastAsia="楷体_GB2312"/>
          <w:b/>
          <w:sz w:val="32"/>
          <w:szCs w:val="32"/>
        </w:rPr>
        <w:t>优化数字社会环境。</w:t>
      </w:r>
      <w:r>
        <w:rPr>
          <w:rFonts w:hint="eastAsia" w:ascii="仿宋_GB2312" w:eastAsia="仿宋_GB2312"/>
          <w:sz w:val="32"/>
          <w:szCs w:val="32"/>
        </w:rPr>
        <w:t>推进数字技术在城市管理、生态保护、应急管理领域应用，实现灾害预警“一图统管”，实现重大突发公共事件的快速响应和联动处置。促进数字公共服务普惠化和提质增效，加快文化教育、医疗健康、文化旅游、体育健身等领域公共服务数字化供给和网络化服务，促进优质资源共享复用，推动城乡基本公共服务均等化。</w:t>
      </w:r>
    </w:p>
    <w:p>
      <w:pPr>
        <w:spacing w:line="556" w:lineRule="exact"/>
        <w:ind w:firstLine="640" w:firstLineChars="200"/>
        <w:rPr>
          <w:rFonts w:ascii="仿宋_GB2312" w:eastAsia="仿宋_GB2312"/>
          <w:sz w:val="32"/>
          <w:szCs w:val="32"/>
        </w:rPr>
      </w:pPr>
    </w:p>
    <w:p>
      <w:pPr>
        <w:pStyle w:val="12"/>
        <w:spacing w:before="0" w:after="0"/>
        <w:outlineLvl w:val="9"/>
        <w:rPr>
          <w:rFonts w:ascii="方正小标宋简体" w:hAnsi="黑体" w:eastAsia="方正小标宋简体"/>
          <w:b w:val="0"/>
          <w:sz w:val="36"/>
          <w:szCs w:val="36"/>
        </w:rPr>
      </w:pPr>
      <w:bookmarkStart w:id="115" w:name="_Toc22885_WPSOffice_Level1"/>
      <w:bookmarkStart w:id="116" w:name="_Toc3451_WPSOffice_Level1"/>
      <w:r>
        <w:rPr>
          <w:rFonts w:hint="eastAsia" w:ascii="方正小标宋简体" w:hAnsi="黑体" w:eastAsia="方正小标宋简体"/>
          <w:b w:val="0"/>
          <w:sz w:val="36"/>
          <w:szCs w:val="36"/>
        </w:rPr>
        <w:t>第十一章  积极有效扩大内需 促进消费投资增长</w:t>
      </w:r>
      <w:bookmarkEnd w:id="115"/>
      <w:bookmarkEnd w:id="116"/>
    </w:p>
    <w:p>
      <w:pPr>
        <w:spacing w:line="576" w:lineRule="exact"/>
        <w:ind w:firstLine="640" w:firstLineChars="200"/>
        <w:rPr>
          <w:rFonts w:ascii="仿宋_GB2312" w:eastAsia="仿宋_GB2312"/>
          <w:sz w:val="32"/>
          <w:szCs w:val="32"/>
        </w:rPr>
      </w:pPr>
    </w:p>
    <w:p>
      <w:pPr>
        <w:spacing w:line="576" w:lineRule="exact"/>
        <w:ind w:firstLine="640" w:firstLineChars="200"/>
        <w:rPr>
          <w:rFonts w:ascii="仿宋_GB2312" w:eastAsia="仿宋_GB2312"/>
          <w:sz w:val="32"/>
          <w:szCs w:val="32"/>
        </w:rPr>
      </w:pPr>
      <w:r>
        <w:rPr>
          <w:rFonts w:hint="eastAsia" w:ascii="仿宋_GB2312" w:eastAsia="仿宋_GB2312"/>
          <w:sz w:val="32"/>
          <w:szCs w:val="32"/>
        </w:rPr>
        <w:t>坚持扩大内需，以高品质需求塑造发展新动能，以消费升级和投资增效为引擎，促进形成更多由内需主导、消费拉动、内生增长的经济发展模式。</w:t>
      </w:r>
    </w:p>
    <w:p>
      <w:pPr>
        <w:pStyle w:val="12"/>
        <w:spacing w:before="0" w:after="0" w:line="576" w:lineRule="exact"/>
        <w:outlineLvl w:val="9"/>
        <w:rPr>
          <w:rFonts w:ascii="黑体" w:hAnsi="黑体" w:eastAsia="黑体"/>
          <w:b w:val="0"/>
          <w:bCs w:val="0"/>
        </w:rPr>
      </w:pPr>
      <w:bookmarkStart w:id="117" w:name="_Toc22636_WPSOffice_Level2"/>
      <w:bookmarkStart w:id="118" w:name="_Toc953_WPSOffice_Level2"/>
      <w:r>
        <w:rPr>
          <w:rFonts w:hint="eastAsia" w:ascii="黑体" w:hAnsi="黑体" w:eastAsia="黑体"/>
          <w:b w:val="0"/>
          <w:bCs w:val="0"/>
        </w:rPr>
        <w:t>第一节  促进消费提质升级</w:t>
      </w:r>
      <w:bookmarkEnd w:id="117"/>
      <w:bookmarkEnd w:id="118"/>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积极落实“两新”政策。</w:t>
      </w:r>
      <w:r>
        <w:rPr>
          <w:rFonts w:hint="eastAsia" w:ascii="仿宋_GB2312" w:eastAsia="仿宋_GB2312"/>
          <w:sz w:val="32"/>
          <w:szCs w:val="32"/>
        </w:rPr>
        <w:t>扩围工业重点行业领域设备更新，聚焦大规模设备更新与消费品以旧换新，兼顾消费提振与投资拉动，实现提质增效。推动重点企业、行业重要设备更新。提振新型家电家具家装消费，开展居民生活消费以旧换新活动，支持老旧汽车报废、节能家电换购及家居适老化改造。鼓励符合质量要求的废旧家电家具等循环高效使用，实现淘汰产品环保安全处置，相关资源回收使用。</w:t>
      </w:r>
    </w:p>
    <w:p>
      <w:pPr>
        <w:spacing w:line="576" w:lineRule="exact"/>
        <w:ind w:firstLine="629" w:firstLineChars="196"/>
        <w:rPr>
          <w:rFonts w:ascii="仿宋_GB2312" w:eastAsia="仿宋_GB2312"/>
          <w:sz w:val="32"/>
          <w:szCs w:val="32"/>
        </w:rPr>
      </w:pPr>
      <w:r>
        <w:rPr>
          <w:rFonts w:hint="eastAsia" w:ascii="楷体_GB2312" w:hAnsi="楷体" w:eastAsia="楷体_GB2312"/>
          <w:b/>
          <w:sz w:val="32"/>
          <w:szCs w:val="32"/>
        </w:rPr>
        <w:t>持续提升传统消费。</w:t>
      </w:r>
      <w:r>
        <w:rPr>
          <w:rFonts w:hint="eastAsia" w:ascii="仿宋_GB2312" w:eastAsia="仿宋_GB2312"/>
          <w:sz w:val="32"/>
          <w:szCs w:val="32"/>
        </w:rPr>
        <w:t>开展餐饮业质量安全智能化提升行动，增加优质产品和优质服务供给，促进餐饮业健康发展。兼顾“舌尖上的安全”和“舌尖上的美好”。鼓励商贸领域各企业举办美食节、美食展、打折促销等活动。大力推进国内知名餐饮品牌落地，鼓励本地企业积极打造知名餐饮品牌。</w:t>
      </w:r>
    </w:p>
    <w:p>
      <w:pPr>
        <w:spacing w:line="576" w:lineRule="exact"/>
        <w:ind w:firstLine="629" w:firstLineChars="196"/>
        <w:rPr>
          <w:rFonts w:ascii="仿宋_GB2312" w:eastAsia="仿宋_GB2312"/>
          <w:sz w:val="32"/>
          <w:szCs w:val="32"/>
        </w:rPr>
      </w:pPr>
      <w:r>
        <w:rPr>
          <w:rFonts w:hint="eastAsia" w:ascii="楷体_GB2312" w:hAnsi="楷体" w:eastAsia="楷体_GB2312"/>
          <w:b/>
          <w:sz w:val="32"/>
          <w:szCs w:val="32"/>
        </w:rPr>
        <w:t>促进服务消费品质提升。</w:t>
      </w:r>
      <w:r>
        <w:rPr>
          <w:rFonts w:hint="eastAsia" w:ascii="仿宋_GB2312" w:eastAsia="仿宋_GB2312"/>
          <w:sz w:val="32"/>
          <w:szCs w:val="32"/>
        </w:rPr>
        <w:t>推进服务消费提质扩容，持续推动文化、旅游、体育、教育、培训、养老、家政、托育、健康等服务消费，积极支持自驾车、旅居车、通用航空等消费大众化发展。促进平台经济、共享经济健康发展。做强彰显特色的夜间消费，打造具有根河特色的“夜间品牌”，推出夜间特色市集，打造夜间文化和旅游消费集聚区，发展实景式、沉浸式夜间体验活动。结合敖鲁古雅景区资源，设计民族服饰、撮罗子模型等文创衍生品，实现“商旅融合”消费场景创新。创新手工体验赋能消费场景，聚焦桦树皮画、太阳花等特色非遗技艺，开发沉浸式手工体验项目，增强游客参与度和获得感，为消费市场注入持续活力。</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完善提振消费的体制机制。</w:t>
      </w:r>
      <w:r>
        <w:rPr>
          <w:rFonts w:hint="eastAsia" w:ascii="仿宋_GB2312" w:eastAsia="仿宋_GB2312"/>
          <w:sz w:val="32"/>
          <w:szCs w:val="32"/>
        </w:rPr>
        <w:t>加强消费者权益保护，构建“跨部门协同+信用约束”的消费市场监管体系，加强职能部门间的协同配合，建立信息共享与联合执法机制，强化重点商品和服务领域价格监管。畅通消费维权渠道，提升12315热线服务质量，推广先行赔付、在线调解等快速处理模式。完善消费投诉公示运行机制，引导经营主体诚信经营。</w:t>
      </w:r>
    </w:p>
    <w:p>
      <w:pPr>
        <w:pStyle w:val="12"/>
        <w:spacing w:before="0" w:after="0" w:line="576" w:lineRule="exact"/>
        <w:outlineLvl w:val="9"/>
        <w:rPr>
          <w:rFonts w:ascii="黑体" w:hAnsi="黑体" w:eastAsia="黑体"/>
          <w:b w:val="0"/>
          <w:bCs w:val="0"/>
        </w:rPr>
      </w:pPr>
      <w:bookmarkStart w:id="119" w:name="_Toc21527_WPSOffice_Level2"/>
      <w:bookmarkStart w:id="120" w:name="_Toc26804_WPSOffice_Level2"/>
      <w:r>
        <w:rPr>
          <w:rFonts w:hint="eastAsia" w:ascii="黑体" w:hAnsi="黑体" w:eastAsia="黑体"/>
          <w:b w:val="0"/>
          <w:bCs w:val="0"/>
        </w:rPr>
        <w:t>第二节  精准扩大有效投资规模</w:t>
      </w:r>
      <w:bookmarkEnd w:id="119"/>
      <w:bookmarkEnd w:id="120"/>
    </w:p>
    <w:p>
      <w:pPr>
        <w:spacing w:line="576" w:lineRule="exact"/>
        <w:ind w:firstLine="640" w:firstLineChars="200"/>
        <w:rPr>
          <w:rFonts w:ascii="仿宋_GB2312" w:eastAsia="仿宋_GB2312"/>
          <w:sz w:val="32"/>
          <w:szCs w:val="32"/>
        </w:rPr>
      </w:pPr>
      <w:r>
        <w:rPr>
          <w:rFonts w:hint="eastAsia" w:ascii="仿宋_GB2312" w:eastAsia="仿宋_GB2312"/>
          <w:sz w:val="32"/>
          <w:szCs w:val="32"/>
        </w:rPr>
        <w:t>坚持精准投资、效益优先，构建“政府引导—市场主导—要素协同”的投资机制，积极争取国家重大战略实施和重点领域安全能力（“两重”）建设的超长期特别国债资金支持，加大重点领域补短板力度，系统布局新型基础设施，努力增加产业发展投资，提高投资效率，促进投资规模合理增长、结构不断优化。“十五五”时期，力争固定资产投资年均增长6%以上。</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引导资源要素向重点产业集聚。</w:t>
      </w:r>
      <w:r>
        <w:rPr>
          <w:rFonts w:hint="eastAsia" w:ascii="仿宋_GB2312" w:eastAsia="仿宋_GB2312"/>
          <w:sz w:val="32"/>
          <w:szCs w:val="32"/>
        </w:rPr>
        <w:t>围绕文化旅游、林下产品加工、特色种植养殖、工业品耐寒测试、现代服务业等重点产业，支持企业谋划实施一批延链补链强链、技术改造升级、规模效益提升的产业投资项目，提高供给体系质量和效率。鼓励支持民间投资，加快民间投资项目核准备案、用地选址、环境影响评价、施工许可等前期工作手续办理，促进项目加快落地实施。搭建政金企对接平台，建立和完善社会资本投融资合作对接机制，提高民营企业融资便利度。</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提升招商引资质效。</w:t>
      </w:r>
      <w:r>
        <w:rPr>
          <w:rFonts w:hint="eastAsia" w:ascii="仿宋_GB2312" w:eastAsia="仿宋_GB2312"/>
          <w:sz w:val="32"/>
          <w:szCs w:val="32"/>
        </w:rPr>
        <w:t>锚定京津冀、长三角、粤港澳大湾区、川渝等重点区域，精准锁定目标企业，创新运用产业链招商、市场化招商、平台活动招商等方式，多平台发布招商引资项目，扩大招商引资规模。深化对俄蒙跨境招商合作，扩大招商范围。建立招商引资项目包联机制，做好招商引资全生命周期服务保障，实现项目对接、推进、开工、落地“有呼必应”。加强招商引资队伍能力建设，充实招商引资机构专业人员配置，完善招商引资考核激励制度。“十五五”期间，力争累计引进国内（区外）到位资金20亿元。</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深化投资审批制度改革。</w:t>
      </w:r>
      <w:r>
        <w:rPr>
          <w:rFonts w:hint="eastAsia" w:ascii="仿宋_GB2312" w:eastAsia="仿宋_GB2312"/>
          <w:sz w:val="32"/>
          <w:szCs w:val="32"/>
        </w:rPr>
        <w:t>建立政府投资支持重大项目建设长效机制，深化运用重大项目联审联批机制，加快投资审批数据部门间共享，推动投资审批权责“一张清单”、审批数据“一体共享”、审批事项“一网通办”。加强审批事项清单化管理、审批用时管理，建立重点项目手续领办、代办、帮办机制，实现从落地建设到投入使用全方位全流程跟踪服务。完善投资管理模式，规范有序推广企业投资项目承诺制、区域评估、标准地改革等投资审批创新经验，加强投资决策与规划和用地、环评的制度衔接，加强投资项目特别是备案类项目的事中事后监管。</w:t>
      </w:r>
    </w:p>
    <w:p>
      <w:pPr>
        <w:pStyle w:val="12"/>
        <w:spacing w:before="0" w:after="0" w:line="576" w:lineRule="exact"/>
        <w:outlineLvl w:val="9"/>
        <w:rPr>
          <w:rFonts w:ascii="黑体" w:hAnsi="黑体" w:eastAsia="黑体"/>
          <w:b w:val="0"/>
          <w:bCs w:val="0"/>
        </w:rPr>
      </w:pPr>
      <w:bookmarkStart w:id="121" w:name="_Toc14975_WPSOffice_Level2"/>
      <w:bookmarkStart w:id="122" w:name="_Toc22579_WPSOffice_Level2"/>
      <w:r>
        <w:rPr>
          <w:rFonts w:hint="eastAsia" w:ascii="黑体" w:hAnsi="黑体" w:eastAsia="黑体"/>
          <w:b w:val="0"/>
          <w:bCs w:val="0"/>
        </w:rPr>
        <w:t xml:space="preserve">第三节  </w:t>
      </w:r>
      <w:bookmarkEnd w:id="121"/>
      <w:r>
        <w:rPr>
          <w:rFonts w:hint="eastAsia" w:ascii="黑体" w:hAnsi="黑体" w:eastAsia="黑体"/>
          <w:b w:val="0"/>
          <w:bCs w:val="0"/>
        </w:rPr>
        <w:t>持续提升经济活力</w:t>
      </w:r>
      <w:bookmarkEnd w:id="122"/>
    </w:p>
    <w:p>
      <w:pPr>
        <w:spacing w:line="576" w:lineRule="exact"/>
        <w:ind w:firstLine="640" w:firstLineChars="200"/>
        <w:rPr>
          <w:rFonts w:ascii="仿宋_GB2312" w:eastAsia="仿宋_GB2312"/>
          <w:sz w:val="32"/>
          <w:szCs w:val="32"/>
        </w:rPr>
      </w:pPr>
      <w:r>
        <w:rPr>
          <w:rFonts w:hint="eastAsia" w:ascii="仿宋_GB2312" w:eastAsia="仿宋_GB2312"/>
          <w:sz w:val="32"/>
          <w:szCs w:val="32"/>
        </w:rPr>
        <w:t>深入落实“五统一、一开放”要求，进一步破除市场壁垒、促进要素畅通流动，实现效率和公平有机统一。</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融入服务全国统一大市场建设。</w:t>
      </w:r>
      <w:r>
        <w:rPr>
          <w:rFonts w:hint="eastAsia" w:ascii="仿宋_GB2312" w:eastAsia="仿宋_GB2312"/>
          <w:sz w:val="32"/>
          <w:szCs w:val="32"/>
        </w:rPr>
        <w:t>全面实施市场准入负面清单制度，落实“全国一张清单”管理模式。规范政府经济促进行为，加强公平竞争审查刚性约束，清理和废除妨碍全国统一市场和公平竞争的各种规定和做法。严格执行招标投标法、公共资源交易管理办法，规范开展招标活动，实现项目全流程公开管理，依法平等对待各类经济组织。落实要素市场制度和规则，推动生产要素畅通流动、高效配置。规范重要民生商品和服务价格调控，强化风险评估和预测预警。</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加大产权保护力度。</w:t>
      </w:r>
      <w:r>
        <w:rPr>
          <w:rFonts w:hint="eastAsia" w:ascii="仿宋_GB2312" w:eastAsia="仿宋_GB2312"/>
          <w:sz w:val="32"/>
          <w:szCs w:val="32"/>
        </w:rPr>
        <w:t>建立知识产权侵权和行政非诉执行快速处理机制，严格落实知识产权侵权赔偿、行为保全等制度，加大对民营经济组织原始创新保护力度。优化专利、商标等申请和审查程序，提高审查效率，加大对侵犯知识产权违法犯罪行为的打击力度。落实产权执法司法保护制度，严格规范公检法机关涉案财产处置程序，建立健全有效衔接的涉案财产处置制度体系。</w:t>
      </w:r>
    </w:p>
    <w:p>
      <w:pPr>
        <w:spacing w:line="576" w:lineRule="exact"/>
        <w:ind w:firstLine="645"/>
        <w:rPr>
          <w:rFonts w:ascii="仿宋_GB2312" w:eastAsia="仿宋_GB2312"/>
          <w:sz w:val="32"/>
          <w:szCs w:val="32"/>
        </w:rPr>
      </w:pPr>
      <w:r>
        <w:rPr>
          <w:rFonts w:hint="eastAsia" w:ascii="楷体_GB2312" w:hAnsi="楷体" w:eastAsia="楷体_GB2312"/>
          <w:b/>
          <w:sz w:val="32"/>
          <w:szCs w:val="32"/>
        </w:rPr>
        <w:t>健全社会信用体系。</w:t>
      </w:r>
      <w:r>
        <w:rPr>
          <w:rFonts w:hint="eastAsia" w:ascii="仿宋_GB2312" w:eastAsia="仿宋_GB2312"/>
          <w:sz w:val="32"/>
          <w:szCs w:val="32"/>
        </w:rPr>
        <w:t>建立以信用为基础的新型监管机制，全面高效共享各类公共信用信息。健全政府诚信履约机制，常态排查整治政府失信行为。加强经营主体、社会组织信用建设，稳步推进自然人诚信建设，引导自然人规范个人行为。全面加强司法执法体系信用建设，提高司法执法公信力。实施守信激励和失信惩戒机制，落实信用修复制度，帮助信用主体规范重塑信用。</w:t>
      </w:r>
    </w:p>
    <w:p>
      <w:pPr>
        <w:spacing w:line="576" w:lineRule="exact"/>
        <w:ind w:firstLine="645"/>
        <w:rPr>
          <w:rFonts w:ascii="仿宋_GB2312" w:eastAsia="仿宋_GB2312"/>
          <w:sz w:val="32"/>
          <w:szCs w:val="32"/>
        </w:rPr>
      </w:pPr>
    </w:p>
    <w:p>
      <w:pPr>
        <w:pStyle w:val="12"/>
        <w:spacing w:before="0" w:after="0"/>
        <w:outlineLvl w:val="9"/>
        <w:rPr>
          <w:rFonts w:ascii="方正小标宋简体" w:hAnsi="黑体" w:eastAsia="方正小标宋简体"/>
          <w:b w:val="0"/>
          <w:sz w:val="36"/>
          <w:szCs w:val="36"/>
        </w:rPr>
      </w:pPr>
      <w:bookmarkStart w:id="123" w:name="_Toc1082_WPSOffice_Level1"/>
      <w:bookmarkStart w:id="124" w:name="_Toc32602_WPSOffice_Level1"/>
      <w:r>
        <w:rPr>
          <w:rFonts w:hint="eastAsia" w:ascii="方正小标宋简体" w:hAnsi="黑体" w:eastAsia="方正小标宋简体"/>
          <w:b w:val="0"/>
          <w:sz w:val="36"/>
          <w:szCs w:val="36"/>
        </w:rPr>
        <w:t>第十二章  全面深化改革 激发经营主体活力</w:t>
      </w:r>
      <w:bookmarkEnd w:id="123"/>
      <w:bookmarkEnd w:id="124"/>
    </w:p>
    <w:p>
      <w:pPr>
        <w:spacing w:line="576" w:lineRule="exact"/>
        <w:ind w:firstLine="640" w:firstLineChars="200"/>
        <w:rPr>
          <w:rFonts w:ascii="仿宋_GB2312" w:eastAsia="仿宋_GB2312"/>
          <w:sz w:val="32"/>
          <w:szCs w:val="32"/>
        </w:rPr>
      </w:pPr>
    </w:p>
    <w:p>
      <w:pPr>
        <w:spacing w:line="576" w:lineRule="exact"/>
        <w:ind w:firstLine="640" w:firstLineChars="200"/>
        <w:rPr>
          <w:rFonts w:ascii="仿宋_GB2312" w:eastAsia="仿宋_GB2312"/>
          <w:sz w:val="32"/>
          <w:szCs w:val="32"/>
        </w:rPr>
      </w:pPr>
      <w:r>
        <w:rPr>
          <w:rFonts w:hint="eastAsia" w:ascii="仿宋_GB2312" w:eastAsia="仿宋_GB2312"/>
          <w:sz w:val="32"/>
          <w:szCs w:val="32"/>
        </w:rPr>
        <w:t>坚持以改革破解发展难题，完善高水平社会主义市场经济体制。发挥市场在资源配置中的决定性作用，最大限度减少政府对资源的直接配置和对微观经济活动的直接干预，实现效率和公平有机统一，激发高质量发展活力。</w:t>
      </w:r>
    </w:p>
    <w:p>
      <w:pPr>
        <w:pStyle w:val="12"/>
        <w:spacing w:before="0" w:after="0" w:line="576" w:lineRule="exact"/>
        <w:outlineLvl w:val="9"/>
        <w:rPr>
          <w:rFonts w:ascii="黑体" w:hAnsi="黑体" w:eastAsia="黑体"/>
          <w:b w:val="0"/>
          <w:bCs w:val="0"/>
        </w:rPr>
      </w:pPr>
      <w:bookmarkStart w:id="125" w:name="_Toc10333_WPSOffice_Level2"/>
      <w:bookmarkStart w:id="126" w:name="_Toc6834_WPSOffice_Level2"/>
      <w:r>
        <w:rPr>
          <w:rFonts w:hint="eastAsia" w:ascii="黑体" w:hAnsi="黑体" w:eastAsia="黑体"/>
          <w:b w:val="0"/>
          <w:bCs w:val="0"/>
        </w:rPr>
        <w:t>第一节  坚持和落实“两个毫不动摇”</w:t>
      </w:r>
      <w:bookmarkEnd w:id="125"/>
      <w:bookmarkEnd w:id="126"/>
    </w:p>
    <w:p>
      <w:pPr>
        <w:spacing w:line="576" w:lineRule="exact"/>
        <w:ind w:firstLine="640" w:firstLineChars="200"/>
        <w:rPr>
          <w:rFonts w:ascii="仿宋_GB2312" w:eastAsia="仿宋_GB2312"/>
          <w:sz w:val="32"/>
          <w:szCs w:val="32"/>
        </w:rPr>
      </w:pPr>
      <w:r>
        <w:rPr>
          <w:rFonts w:hint="eastAsia" w:ascii="仿宋_GB2312" w:eastAsia="仿宋_GB2312"/>
          <w:sz w:val="32"/>
          <w:szCs w:val="32"/>
        </w:rPr>
        <w:t>毫不动摇巩固和发展公有制经济，毫不动摇鼓励、支持、引导非公有制经济发展，提升国有企业核心竞争力，促进民营经济持续、健康、高质量发展，推动各类经营主体在更大范围、更深层次上实现共同发展。</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持续深化国资国企改革。</w:t>
      </w:r>
      <w:r>
        <w:rPr>
          <w:rFonts w:hint="eastAsia" w:ascii="仿宋_GB2312" w:eastAsia="仿宋_GB2312"/>
          <w:sz w:val="32"/>
          <w:szCs w:val="32"/>
        </w:rPr>
        <w:t>巩固国有企业改革深化提升行动成果，推进国有企业完善现代企业制度，健全公司法人治理结构，引导国有资本重点投向文旅、新能源、低空经济、林下经济等战略性新兴产业与特色优势领域，提升国有资本配置效能。建立完善国有企业主业和投资项目负面清单动态调整机制，盘活存量闲置资源，提高资产使用效益。推进国有企业负责人经营业绩考核，提升国有资本经营预算编制的规范性、精准性和实效性，规范国有资产监管，监督企业运营效率，营造国有资本经营预算管理和国有企业发展良好环境，防止国有资产流失。</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积极推动民营经济发展。</w:t>
      </w:r>
      <w:r>
        <w:rPr>
          <w:rFonts w:hint="eastAsia" w:ascii="仿宋_GB2312" w:eastAsia="仿宋_GB2312"/>
          <w:sz w:val="32"/>
          <w:szCs w:val="32"/>
        </w:rPr>
        <w:t>落实民营经济促进法，支持民营企业参与重大工程和补短板项目建设，在项目推介对接、要素获取、前期手续办理等方面提供规范化高效便利服务。落实民营经济组织融资支持政策，支持开展信用融资，拓展贷款抵质押物范围，缓解中小微企业融资困难。推动民营经济组织开展科技创新，聚焦林下产品加工、冷水鱼养殖等领域，打造细分市场的优质企业，推动中小企业升规纳统。做好民营经济发展服务保障，清理规范涉企收费，降低企业经营成本。健全清理和防止拖欠民营经济组织账款长效机制，依法保护民营经济组织产权和经营者权益，运用司法手段破解民营企业急难愁盼问题。加强事中事后监管，规范涉及民营企业的行政检查。构建亲清政商关系，完善落实常态化政企沟通机制，及时解决企业诉求。</w:t>
      </w:r>
    </w:p>
    <w:p>
      <w:pPr>
        <w:pStyle w:val="12"/>
        <w:spacing w:before="0" w:after="0" w:line="576" w:lineRule="exact"/>
        <w:outlineLvl w:val="9"/>
        <w:rPr>
          <w:rFonts w:ascii="黑体" w:hAnsi="黑体" w:eastAsia="黑体"/>
          <w:b w:val="0"/>
          <w:bCs w:val="0"/>
        </w:rPr>
      </w:pPr>
      <w:bookmarkStart w:id="127" w:name="_Toc17588_WPSOffice_Level2"/>
      <w:bookmarkStart w:id="128" w:name="_Toc2609_WPSOffice_Level2"/>
      <w:r>
        <w:rPr>
          <w:rFonts w:hint="eastAsia" w:ascii="黑体" w:hAnsi="黑体" w:eastAsia="黑体"/>
          <w:b w:val="0"/>
          <w:bCs w:val="0"/>
        </w:rPr>
        <w:t>第二节  深化重点领域改革</w:t>
      </w:r>
      <w:bookmarkEnd w:id="127"/>
      <w:bookmarkEnd w:id="128"/>
    </w:p>
    <w:p>
      <w:pPr>
        <w:spacing w:line="576" w:lineRule="exact"/>
        <w:ind w:firstLine="642" w:firstLineChars="200"/>
        <w:rPr>
          <w:rFonts w:ascii="仿宋_GB2312" w:eastAsia="仿宋_GB2312"/>
          <w:b/>
          <w:sz w:val="32"/>
          <w:szCs w:val="32"/>
        </w:rPr>
      </w:pPr>
      <w:r>
        <w:rPr>
          <w:rFonts w:hint="eastAsia" w:ascii="楷体_GB2312" w:hAnsi="楷体" w:eastAsia="楷体_GB2312"/>
          <w:b/>
          <w:sz w:val="32"/>
          <w:szCs w:val="32"/>
        </w:rPr>
        <w:t>深化要素市场化配置改革。</w:t>
      </w:r>
      <w:r>
        <w:rPr>
          <w:rFonts w:hint="eastAsia" w:ascii="仿宋_GB2312" w:eastAsia="仿宋_GB2312"/>
          <w:sz w:val="32"/>
          <w:szCs w:val="32"/>
        </w:rPr>
        <w:t>充分发挥市场在资源配置中的决定性作用，健全劳动、资本、土地、知识、技术、管理、数据等生产要素由市场评价贡献、按贡献决定报酬的机制，全面提高要素协同配置效率。探索产业用地“标准地”出让，在符合国土空间规划和用途管制的前提下，推动不同产业用地类型合理转换。加快畅通劳动力和人才社会性流动渠道，提高劳动报酬特别是一线劳动者劳动报酬在初次分配中的比重。落实主要由市场决定要素价格机制，引导经营主体依法合理行使要素定价自主权。</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持续推进优化营商环境改革。</w:t>
      </w:r>
      <w:r>
        <w:rPr>
          <w:rFonts w:hint="eastAsia" w:ascii="仿宋_GB2312" w:eastAsia="仿宋_GB2312"/>
          <w:sz w:val="32"/>
          <w:szCs w:val="32"/>
        </w:rPr>
        <w:t>深化政务服务“一网、一门、一次”改革，实施政务服务事项“跨区域通办”和线上线下并行办理，持续推进政务服务“一网通办”，实现更多政务服务事项“网上办、掌上办”。优化“一件事一次办”服务模式，建立“高效办成一件事”重点事项清单管理和常态化推进机制。健全“12345”接诉即办、未诉先办机制。持续优化经营主体登记服务，拓展经营主体设立、变更、注销全程电子化覆盖范围，全面推广“一企、一照、一码”应用。推动招投标市场规范健康发展，降低供应商参与政府采购活动的制度性交易成本。建立经营主体全生命周期监管链，全面实施“双随机、一公开”监管，减少开展现场检查频次。</w:t>
      </w:r>
    </w:p>
    <w:p>
      <w:pPr>
        <w:spacing w:line="576" w:lineRule="exact"/>
        <w:ind w:firstLine="629" w:firstLineChars="196"/>
        <w:rPr>
          <w:rFonts w:ascii="仿宋_GB2312" w:eastAsia="仿宋_GB2312"/>
          <w:sz w:val="32"/>
          <w:szCs w:val="32"/>
        </w:rPr>
      </w:pPr>
      <w:r>
        <w:rPr>
          <w:rFonts w:hint="eastAsia" w:ascii="楷体_GB2312" w:hAnsi="楷体" w:eastAsia="楷体_GB2312"/>
          <w:b/>
          <w:sz w:val="32"/>
          <w:szCs w:val="32"/>
        </w:rPr>
        <w:t>深化财税金融体制改革。</w:t>
      </w:r>
      <w:r>
        <w:rPr>
          <w:rFonts w:hint="eastAsia" w:ascii="仿宋_GB2312" w:eastAsia="仿宋_GB2312"/>
          <w:sz w:val="32"/>
          <w:szCs w:val="32"/>
        </w:rPr>
        <w:t>推进预算编制科学化、精细化，加大预算收入统筹力度，加强政府收入预算管理，实施零基预算改革，规范部门和单位收入预算管理。坚持保基本、保工资、保运转支出在财政支出中的优先顺序，坚决兜住“三保”底线。完善财政转移支付制度，优化转移支付结构，加大对民生、生态等领域的投入力度。加强预算执行监督，提高财政资金使用效益。深化税收征管改革，规范落实减税降费政策。深化普惠金融改革，加大对民营经济、中小微企业的信贷支持力度。</w:t>
      </w:r>
    </w:p>
    <w:bookmarkEnd w:id="60"/>
    <w:p>
      <w:pPr>
        <w:pStyle w:val="12"/>
        <w:spacing w:before="0" w:after="0"/>
        <w:outlineLvl w:val="9"/>
        <w:rPr>
          <w:rFonts w:ascii="方正小标宋简体" w:hAnsi="黑体" w:eastAsia="方正小标宋简体"/>
          <w:b w:val="0"/>
          <w:sz w:val="36"/>
          <w:szCs w:val="36"/>
        </w:rPr>
      </w:pPr>
      <w:bookmarkStart w:id="129" w:name="_Toc3962_WPSOffice_Level1"/>
      <w:bookmarkStart w:id="130" w:name="_Toc2350_WPSOffice_Level1"/>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r>
        <w:rPr>
          <w:rFonts w:hint="eastAsia" w:ascii="方正小标宋简体" w:hAnsi="黑体" w:eastAsia="方正小标宋简体"/>
          <w:b w:val="0"/>
          <w:sz w:val="36"/>
          <w:szCs w:val="36"/>
        </w:rPr>
        <w:t>第十三章 统筹区域协调发展 提高城镇综合承载能力</w:t>
      </w:r>
      <w:bookmarkEnd w:id="129"/>
      <w:bookmarkEnd w:id="130"/>
    </w:p>
    <w:p>
      <w:pPr>
        <w:spacing w:line="576" w:lineRule="exact"/>
        <w:ind w:firstLine="640" w:firstLineChars="200"/>
        <w:rPr>
          <w:rFonts w:ascii="仿宋_GB2312" w:eastAsia="仿宋_GB2312"/>
          <w:sz w:val="32"/>
          <w:szCs w:val="32"/>
        </w:rPr>
      </w:pPr>
    </w:p>
    <w:p>
      <w:pPr>
        <w:spacing w:line="576" w:lineRule="exact"/>
        <w:ind w:firstLine="640" w:firstLineChars="200"/>
        <w:rPr>
          <w:rFonts w:ascii="仿宋_GB2312" w:eastAsia="仿宋_GB2312"/>
          <w:sz w:val="32"/>
          <w:szCs w:val="32"/>
        </w:rPr>
      </w:pPr>
      <w:r>
        <w:rPr>
          <w:rFonts w:hint="eastAsia" w:ascii="仿宋_GB2312" w:eastAsia="仿宋_GB2312"/>
          <w:sz w:val="32"/>
          <w:szCs w:val="32"/>
        </w:rPr>
        <w:t>落实以人为本的新型城镇化战略，聚焦建设创新、宜居、美丽、韧性、文明、智慧的现代化城镇目标，推进新型城镇化建设，加快服务融入县域联动、符合实际、独具特色的发展格局。</w:t>
      </w:r>
    </w:p>
    <w:p>
      <w:pPr>
        <w:pStyle w:val="12"/>
        <w:spacing w:before="0" w:after="0" w:line="576" w:lineRule="exact"/>
        <w:outlineLvl w:val="9"/>
        <w:rPr>
          <w:rFonts w:ascii="黑体" w:hAnsi="黑体" w:eastAsia="黑体"/>
          <w:b w:val="0"/>
          <w:bCs w:val="0"/>
        </w:rPr>
      </w:pPr>
      <w:bookmarkStart w:id="131" w:name="_Toc27767_WPSOffice_Level2"/>
      <w:bookmarkStart w:id="132" w:name="_Toc20175_WPSOffice_Level2"/>
      <w:r>
        <w:rPr>
          <w:rFonts w:hint="eastAsia" w:ascii="黑体" w:hAnsi="黑体" w:eastAsia="黑体"/>
          <w:b w:val="0"/>
          <w:bCs w:val="0"/>
        </w:rPr>
        <w:t>第一节  优化国土空间发展格局</w:t>
      </w:r>
      <w:bookmarkEnd w:id="131"/>
      <w:bookmarkEnd w:id="132"/>
    </w:p>
    <w:p>
      <w:pPr>
        <w:spacing w:line="576" w:lineRule="exact"/>
        <w:ind w:firstLine="640" w:firstLineChars="200"/>
        <w:rPr>
          <w:rFonts w:ascii="仿宋_GB2312" w:eastAsia="仿宋_GB2312"/>
          <w:sz w:val="32"/>
          <w:szCs w:val="32"/>
        </w:rPr>
      </w:pPr>
      <w:r>
        <w:rPr>
          <w:rFonts w:hint="eastAsia" w:ascii="仿宋_GB2312" w:eastAsia="仿宋_GB2312"/>
          <w:sz w:val="32"/>
          <w:szCs w:val="32"/>
        </w:rPr>
        <w:t>落实国土空间开发保护制度，按照主体功能区定位差异化发展。发挥大兴安岭森林生态核心区功能，提高生态系统服务质量和生态产品供给能力，推动主体功能区战略精准落地。完善国土空间规划体系，运用好“三区三线”划定成果，严守耕地保护红线、生态保护红线、历史文化保护线等底线，分区分类实施差别化、精细化用途管制，全面推进自然资源管理和国土空间规划“一张图”建设。</w:t>
      </w:r>
    </w:p>
    <w:p>
      <w:pPr>
        <w:pStyle w:val="12"/>
        <w:spacing w:before="0" w:after="0" w:line="576" w:lineRule="exact"/>
        <w:outlineLvl w:val="9"/>
        <w:rPr>
          <w:rFonts w:ascii="黑体" w:hAnsi="黑体" w:eastAsia="黑体"/>
          <w:b w:val="0"/>
          <w:bCs w:val="0"/>
        </w:rPr>
      </w:pPr>
      <w:bookmarkStart w:id="133" w:name="_Toc29260_WPSOffice_Level2"/>
      <w:bookmarkStart w:id="134" w:name="_Toc8264_WPSOffice_Level2"/>
      <w:r>
        <w:rPr>
          <w:rFonts w:hint="eastAsia" w:ascii="黑体" w:hAnsi="黑体" w:eastAsia="黑体"/>
          <w:b w:val="0"/>
          <w:bCs w:val="0"/>
        </w:rPr>
        <w:t>第二节  深入推进以人为本的新型城镇化</w:t>
      </w:r>
      <w:bookmarkEnd w:id="133"/>
      <w:bookmarkEnd w:id="134"/>
    </w:p>
    <w:p>
      <w:pPr>
        <w:spacing w:line="576" w:lineRule="exact"/>
        <w:ind w:firstLine="640" w:firstLineChars="200"/>
        <w:rPr>
          <w:rFonts w:ascii="仿宋_GB2312" w:eastAsia="仿宋_GB2312"/>
          <w:b/>
          <w:sz w:val="32"/>
          <w:szCs w:val="32"/>
        </w:rPr>
      </w:pPr>
      <w:bookmarkStart w:id="135" w:name="_Toc207178053"/>
      <w:r>
        <w:rPr>
          <w:rFonts w:hint="eastAsia" w:ascii="仿宋_GB2312" w:eastAsia="仿宋_GB2312"/>
          <w:sz w:val="32"/>
          <w:szCs w:val="32"/>
        </w:rPr>
        <w:t>推进以县城为重要载体的城镇化建设，加快环境卫生设施提级扩能、市政公用设施提档升级，提升城镇综合承载能力，引导人口向中心城区、中心城镇集聚。到2030年，常住人口城镇化率达到99.5%。</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推进城镇老旧小区整治改造。</w:t>
      </w:r>
      <w:r>
        <w:rPr>
          <w:rFonts w:hint="eastAsia" w:ascii="仿宋_GB2312" w:eastAsia="仿宋_GB2312"/>
          <w:sz w:val="32"/>
          <w:szCs w:val="32"/>
        </w:rPr>
        <w:t>以水电路信邮、供热、消防、安防、生活垃圾分类等配套设施更新及小区内公共部位维修为重点，积极谋划老旧小区建筑节能降碳改造，有序实施城镇房屋建筑更新改造和加固工程。完善社区基本公共服务设施、公共活动场地，建设改造适老化、适儿化、无障碍设施。</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补齐市政基础设施短板。</w:t>
      </w:r>
      <w:r>
        <w:rPr>
          <w:rFonts w:hint="eastAsia" w:ascii="仿宋_GB2312" w:eastAsia="仿宋_GB2312"/>
          <w:sz w:val="32"/>
          <w:szCs w:val="32"/>
        </w:rPr>
        <w:t>强化城市道路交通运行基础，完善城镇交通和路网结构，加快城区道路、交通枢纽等公共交通设施建设。加强老旧管线改造升级，实施市区老旧供热管网改造、供水供热21公里管网市政基础设施改建等项目，尽快消除安全隐患。统筹城市防洪排涝设施建设，提高城市内涝治理能力。完善污水垃圾收集处理体系，实施老旧污水设备更新改造、污水老旧管网改造、市政基础设施排水管网建设、污水处理厂改建等项目，提高污水集中处理率。合理设置分类收集设施设备，优化生活垃圾分类收集和转运站点布局，推进生活垃圾无害化处理。加强公共消防基础设施建设，保持现有消防设施完好有效。到2030年，城镇用水普及率达到99.74%，污水集中处理率、垃圾无害化处理率分别达到97.5%、100%。</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加强城镇生态环境保护。</w:t>
      </w:r>
      <w:r>
        <w:rPr>
          <w:rFonts w:hint="eastAsia" w:ascii="仿宋_GB2312" w:eastAsia="仿宋_GB2312"/>
          <w:sz w:val="32"/>
          <w:szCs w:val="32"/>
        </w:rPr>
        <w:t>推进城镇内部水系、绿地与城镇外围河湖、森林形成完整生态网络，提升城镇园林绿化品质。合理布局绿廊、绿道等结构性绿地，加强城镇综合公园、社区公园、湿地公园建设，在城区、老旧小区科学增加小微绿地，严格控制城镇绿化预算支出。推动公园绿地与防灾避险、全民健身、疫情防控等设施融合共建。提高新建绿色建筑比例，因地制宜实施既有居住建筑、公共建筑绿色改造，建设超低能耗建筑，推广装配式建筑。到2030年，城镇建成区绿地率稳步提升，城镇人均公园绿地面积稳步提升。</w:t>
      </w:r>
    </w:p>
    <w:p>
      <w:pPr>
        <w:spacing w:line="576" w:lineRule="exact"/>
        <w:ind w:firstLine="642" w:firstLineChars="200"/>
        <w:rPr>
          <w:rFonts w:ascii="仿宋_GB2312" w:eastAsia="仿宋_GB2312"/>
          <w:sz w:val="32"/>
          <w:szCs w:val="32"/>
        </w:rPr>
      </w:pPr>
      <w:r>
        <w:rPr>
          <w:rFonts w:hint="eastAsia" w:ascii="楷体_GB2312" w:hAnsi="楷体" w:eastAsia="楷体_GB2312"/>
          <w:b/>
          <w:sz w:val="32"/>
          <w:szCs w:val="32"/>
        </w:rPr>
        <w:t>推动城市精细化管理。</w:t>
      </w:r>
      <w:r>
        <w:rPr>
          <w:rFonts w:hint="eastAsia" w:ascii="仿宋_GB2312" w:eastAsia="仿宋_GB2312"/>
          <w:sz w:val="32"/>
          <w:szCs w:val="32"/>
        </w:rPr>
        <w:t>高效开展国土空间规划城市评估工作，优化调整根河市“三区三线”。建设和优化慢行系统，新建、改扩建道路优先完善非机动车道、人行道、公交车道、残障人员通道等慢行路网。加强城镇环境卫生整治，对根河市生活垃圾填埋场进行源头防控和提标改造，解决垃圾填埋场环境问题。以背街小巷、老旧小区、建筑工地及河道、城镇出入口等区域为重点，解决垃圾乱堆乱倒、收集清运不及时、清扫保洁不到位等问题。加强城区乡镇公共安全视频监控规划、建设和联网应用。提升物业服务质量和管理水平，加强智慧物业管理服务能力建设，到2030年，现有住宅小区物业服务覆盖率达到100%，新建小区达到100%。</w:t>
      </w:r>
    </w:p>
    <w:p>
      <w:pPr>
        <w:spacing w:line="300" w:lineRule="exact"/>
        <w:ind w:firstLine="640" w:firstLineChars="200"/>
        <w:rPr>
          <w:rFonts w:ascii="仿宋_GB2312" w:eastAsia="仿宋_GB2312"/>
          <w:sz w:val="32"/>
          <w:szCs w:val="32"/>
        </w:rPr>
      </w:pPr>
    </w:p>
    <w:tbl>
      <w:tblPr>
        <w:tblStyle w:val="2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spacing w:line="560" w:lineRule="exact"/>
              <w:jc w:val="center"/>
              <w:rPr>
                <w:rFonts w:ascii="仿宋_GB2312" w:hAnsi="仿宋_GB2312" w:eastAsia="仿宋_GB2312" w:cs="仿宋_GB2312"/>
                <w:sz w:val="28"/>
                <w:szCs w:val="28"/>
              </w:rPr>
            </w:pPr>
            <w:r>
              <w:rPr>
                <w:rFonts w:hint="eastAsia" w:ascii="黑体" w:hAnsi="黑体" w:eastAsia="黑体" w:cs="黑体"/>
                <w:sz w:val="28"/>
                <w:szCs w:val="28"/>
              </w:rPr>
              <w:t>专栏8“十五五”城乡融合发展工程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Pr>
          <w:p>
            <w:pPr>
              <w:spacing w:line="400" w:lineRule="exact"/>
              <w:rPr>
                <w:rFonts w:ascii="宋体" w:hAnsi="宋体" w:cs="宋体"/>
                <w:sz w:val="24"/>
                <w:szCs w:val="24"/>
              </w:rPr>
            </w:pPr>
            <w:r>
              <w:rPr>
                <w:rFonts w:hint="eastAsia" w:ascii="宋体" w:hAnsi="宋体" w:cs="宋体"/>
                <w:b/>
                <w:bCs/>
                <w:sz w:val="24"/>
                <w:szCs w:val="24"/>
              </w:rPr>
              <w:t>1.城镇市政基础设施。</w:t>
            </w:r>
            <w:r>
              <w:rPr>
                <w:rFonts w:hint="eastAsia" w:ascii="宋体" w:hAnsi="宋体" w:cs="宋体"/>
                <w:sz w:val="24"/>
                <w:szCs w:val="24"/>
              </w:rPr>
              <w:t>以提升城市承载能力为核心，统筹推进市政设施，智慧化建设与公共服务补短板，提升城市生活品质和治理水平。重点推进城镇道路、桥梁、巷道升级改造，环卫设施改造、设备更新，城镇供排水（雨水）管网升级改造、污水处理厂改建、节水降损改造，供热管网升级改造、热源扩建、换热站。</w:t>
            </w:r>
            <w:r>
              <w:rPr>
                <w:rFonts w:hint="eastAsia" w:ascii="宋体" w:hAnsi="宋体" w:cs="宋体"/>
                <w:b/>
                <w:bCs/>
                <w:sz w:val="24"/>
                <w:szCs w:val="24"/>
              </w:rPr>
              <w:t>供水方面，</w:t>
            </w:r>
            <w:r>
              <w:rPr>
                <w:rFonts w:hint="eastAsia" w:ascii="宋体" w:hAnsi="宋体" w:cs="宋体"/>
                <w:sz w:val="24"/>
                <w:szCs w:val="24"/>
              </w:rPr>
              <w:t>实施供水老旧管网改造项目、老旧供水设备更新改造项目、根河大林公司乡镇自来水升级改造工程等。</w:t>
            </w:r>
            <w:r>
              <w:rPr>
                <w:rFonts w:hint="eastAsia" w:ascii="宋体" w:hAnsi="宋体" w:cs="宋体"/>
                <w:b/>
                <w:bCs/>
                <w:sz w:val="24"/>
                <w:szCs w:val="24"/>
              </w:rPr>
              <w:t>供热方面，</w:t>
            </w:r>
            <w:r>
              <w:rPr>
                <w:rFonts w:hint="eastAsia" w:ascii="宋体" w:hAnsi="宋体" w:cs="宋体"/>
                <w:sz w:val="24"/>
                <w:szCs w:val="24"/>
              </w:rPr>
              <w:t>实施市区老旧供热管网改造项目、河东老旧供热管网改造项目、30km供热管网及市政供热基础设施改造项目、老旧供热设备更新改造项目、热源替代新建热水锅炉项目等。</w:t>
            </w:r>
            <w:r>
              <w:rPr>
                <w:rFonts w:hint="eastAsia" w:ascii="宋体" w:hAnsi="宋体" w:cs="宋体"/>
                <w:b/>
                <w:bCs/>
                <w:sz w:val="24"/>
                <w:szCs w:val="24"/>
              </w:rPr>
              <w:t>排水方面，</w:t>
            </w:r>
            <w:r>
              <w:rPr>
                <w:rFonts w:hint="eastAsia" w:ascii="宋体" w:hAnsi="宋体" w:cs="宋体"/>
                <w:bCs/>
                <w:sz w:val="24"/>
                <w:szCs w:val="24"/>
              </w:rPr>
              <w:t>实施</w:t>
            </w:r>
            <w:r>
              <w:rPr>
                <w:rFonts w:hint="eastAsia" w:ascii="宋体" w:hAnsi="宋体" w:cs="宋体"/>
                <w:sz w:val="24"/>
                <w:szCs w:val="24"/>
              </w:rPr>
              <w:t>老旧污水设备更新改造项目、污水老旧管网改造项目、市政基础设施排水管网建设工程、兴安路排水管网改造项目等。</w:t>
            </w:r>
          </w:p>
          <w:p>
            <w:pPr>
              <w:spacing w:line="400" w:lineRule="exact"/>
              <w:rPr>
                <w:rFonts w:ascii="仿宋_GB2312" w:hAnsi="仿宋_GB2312" w:eastAsia="仿宋_GB2312" w:cs="仿宋_GB2312"/>
                <w:sz w:val="32"/>
                <w:szCs w:val="32"/>
              </w:rPr>
            </w:pPr>
            <w:r>
              <w:rPr>
                <w:rFonts w:hint="eastAsia" w:ascii="宋体" w:hAnsi="宋体" w:cs="宋体"/>
                <w:b/>
                <w:bCs/>
                <w:sz w:val="24"/>
                <w:szCs w:val="24"/>
              </w:rPr>
              <w:t>2.城镇老旧小区改造。</w:t>
            </w:r>
            <w:r>
              <w:rPr>
                <w:rFonts w:hint="eastAsia" w:ascii="宋体" w:hAnsi="宋体" w:cs="宋体"/>
                <w:sz w:val="24"/>
                <w:szCs w:val="24"/>
              </w:rPr>
              <w:t>重点推进2006-2010年老旧小区改造，对城镇老旧小区排污、供水、供暖管道、房盖及地面改造，改造辖区内12个小区、5706户。</w:t>
            </w:r>
          </w:p>
        </w:tc>
      </w:tr>
    </w:tbl>
    <w:p>
      <w:pPr>
        <w:pStyle w:val="12"/>
        <w:spacing w:before="0" w:after="0"/>
        <w:outlineLvl w:val="9"/>
        <w:rPr>
          <w:rFonts w:ascii="方正小标宋简体" w:hAnsi="黑体" w:eastAsia="方正小标宋简体"/>
          <w:b w:val="0"/>
          <w:sz w:val="36"/>
          <w:szCs w:val="36"/>
        </w:rPr>
      </w:pPr>
      <w:bookmarkStart w:id="136" w:name="_Toc31990_WPSOffice_Level1"/>
      <w:bookmarkStart w:id="137" w:name="_Toc30601_WPSOffice_Level1"/>
    </w:p>
    <w:p>
      <w:pPr>
        <w:pStyle w:val="12"/>
        <w:spacing w:before="0" w:after="0"/>
        <w:outlineLvl w:val="9"/>
        <w:rPr>
          <w:rFonts w:ascii="方正小标宋简体" w:hAnsi="黑体" w:eastAsia="方正小标宋简体"/>
          <w:b w:val="0"/>
          <w:sz w:val="36"/>
          <w:szCs w:val="36"/>
        </w:rPr>
      </w:pPr>
    </w:p>
    <w:p/>
    <w:p>
      <w:pPr>
        <w:pStyle w:val="12"/>
        <w:spacing w:before="0" w:after="0"/>
        <w:outlineLvl w:val="9"/>
        <w:rPr>
          <w:rFonts w:ascii="方正小标宋简体" w:hAnsi="黑体" w:eastAsia="方正小标宋简体"/>
          <w:b w:val="0"/>
          <w:sz w:val="36"/>
          <w:szCs w:val="36"/>
        </w:rPr>
      </w:pPr>
    </w:p>
    <w:p/>
    <w:p>
      <w:pPr>
        <w:pStyle w:val="12"/>
        <w:spacing w:before="0" w:after="0"/>
        <w:outlineLvl w:val="9"/>
        <w:rPr>
          <w:rFonts w:ascii="方正小标宋简体" w:hAnsi="黑体" w:eastAsia="方正小标宋简体"/>
          <w:b w:val="0"/>
          <w:sz w:val="36"/>
          <w:szCs w:val="36"/>
        </w:rPr>
      </w:pPr>
      <w:r>
        <w:rPr>
          <w:rFonts w:hint="eastAsia" w:ascii="方正小标宋简体" w:hAnsi="黑体" w:eastAsia="方正小标宋简体"/>
          <w:b w:val="0"/>
          <w:sz w:val="36"/>
          <w:szCs w:val="36"/>
        </w:rPr>
        <w:t>第十四章 繁荣发展文化事业 满足人民日益增长的</w:t>
      </w:r>
    </w:p>
    <w:p>
      <w:pPr>
        <w:pStyle w:val="12"/>
        <w:spacing w:before="0" w:after="0"/>
        <w:outlineLvl w:val="9"/>
        <w:rPr>
          <w:rFonts w:ascii="方正小标宋简体" w:hAnsi="黑体" w:eastAsia="方正小标宋简体"/>
          <w:b w:val="0"/>
          <w:sz w:val="36"/>
          <w:szCs w:val="36"/>
        </w:rPr>
      </w:pPr>
      <w:r>
        <w:rPr>
          <w:rFonts w:hint="eastAsia" w:ascii="方正小标宋简体" w:hAnsi="黑体" w:eastAsia="方正小标宋简体"/>
          <w:b w:val="0"/>
          <w:sz w:val="36"/>
          <w:szCs w:val="36"/>
        </w:rPr>
        <w:t>精神文化需求</w:t>
      </w:r>
      <w:bookmarkEnd w:id="136"/>
      <w:bookmarkEnd w:id="137"/>
    </w:p>
    <w:p>
      <w:pPr>
        <w:spacing w:line="576" w:lineRule="exact"/>
        <w:ind w:firstLine="640" w:firstLineChars="200"/>
        <w:rPr>
          <w:rFonts w:ascii="仿宋_GB2312" w:eastAsia="仿宋_GB2312"/>
          <w:sz w:val="32"/>
          <w:szCs w:val="32"/>
        </w:rPr>
      </w:pPr>
    </w:p>
    <w:p>
      <w:pPr>
        <w:spacing w:line="576" w:lineRule="exact"/>
        <w:ind w:firstLine="640" w:firstLineChars="200"/>
        <w:rPr>
          <w:rFonts w:ascii="仿宋_GB2312" w:eastAsia="仿宋_GB2312"/>
          <w:sz w:val="32"/>
          <w:szCs w:val="32"/>
        </w:rPr>
      </w:pPr>
      <w:r>
        <w:rPr>
          <w:rFonts w:hint="eastAsia" w:ascii="仿宋_GB2312" w:eastAsia="仿宋_GB2312"/>
          <w:sz w:val="32"/>
          <w:szCs w:val="32"/>
        </w:rPr>
        <w:t>深入学习贯彻习近平文化思想，坚持中国特色社会主义文化发展道路，围绕举旗帜、聚民心、育新人、兴文化、展形象的使命任务，以社会主义核心价值观为引领，加强精神文明建设，发展社会主义先进文化，传承中华优秀传统文化，提升文化服务和文化产品供给能力，巩固各族人民团结奋斗的共同思想基础。</w:t>
      </w:r>
    </w:p>
    <w:p>
      <w:pPr>
        <w:pStyle w:val="12"/>
        <w:spacing w:before="0" w:after="0" w:line="576" w:lineRule="exact"/>
        <w:outlineLvl w:val="9"/>
        <w:rPr>
          <w:rFonts w:ascii="黑体" w:hAnsi="黑体" w:eastAsia="黑体"/>
          <w:b w:val="0"/>
          <w:bCs w:val="0"/>
        </w:rPr>
      </w:pPr>
      <w:bookmarkStart w:id="138" w:name="_Toc4746_WPSOffice_Level2"/>
      <w:bookmarkStart w:id="139" w:name="_Toc24071_WPSOffice_Level2"/>
      <w:r>
        <w:rPr>
          <w:rFonts w:hint="eastAsia" w:ascii="黑体" w:hAnsi="黑体" w:eastAsia="黑体"/>
          <w:b w:val="0"/>
          <w:bCs w:val="0"/>
        </w:rPr>
        <w:t>第一节  巩固壮大主流思想舆论</w:t>
      </w:r>
      <w:bookmarkEnd w:id="138"/>
      <w:bookmarkEnd w:id="139"/>
    </w:p>
    <w:p>
      <w:pPr>
        <w:spacing w:line="576" w:lineRule="exact"/>
        <w:ind w:firstLine="640" w:firstLineChars="200"/>
        <w:rPr>
          <w:rFonts w:ascii="楷体_GB2312" w:eastAsia="楷体_GB2312"/>
          <w:b/>
          <w:sz w:val="32"/>
          <w:szCs w:val="32"/>
        </w:rPr>
      </w:pPr>
      <w:r>
        <w:rPr>
          <w:rFonts w:hint="eastAsia" w:ascii="仿宋_GB2312" w:eastAsia="仿宋_GB2312"/>
          <w:sz w:val="32"/>
          <w:szCs w:val="32"/>
        </w:rPr>
        <w:t>加强和改进新时代思想政治工作，推动学习贯彻习近平新时代中国特色社会主义思想常态化制度化，强化思想政治引领。深入开展习近平新时代中国特色社会主义思想宣传阐释，开展“感党恩、听党话、跟党走”“铸牢中华民族共同体意识”“诚信建设”等重大主题宣传宣讲工作。坚持党管媒体，推动宣传提质增效。建立健全网上网下一体化舆论引导和舆情应对处置工作机制，管好用好互联网社情民意“主渠道”。抓好融媒体中心建设，整合传播资源，构建全媒体、多维度、立体化的宣传矩阵。改进和创新内容表现形式，打造群众喜闻乐见的新闻报道精品。</w:t>
      </w:r>
    </w:p>
    <w:p>
      <w:pPr>
        <w:pStyle w:val="12"/>
        <w:spacing w:before="0" w:after="0" w:line="576" w:lineRule="exact"/>
        <w:outlineLvl w:val="9"/>
        <w:rPr>
          <w:rFonts w:ascii="黑体" w:hAnsi="黑体" w:eastAsia="黑体"/>
          <w:b w:val="0"/>
          <w:bCs w:val="0"/>
        </w:rPr>
      </w:pPr>
      <w:bookmarkStart w:id="140" w:name="_Toc22931_WPSOffice_Level2"/>
      <w:bookmarkStart w:id="141" w:name="_Toc17162_WPSOffice_Level2"/>
      <w:r>
        <w:rPr>
          <w:rFonts w:hint="eastAsia" w:ascii="黑体" w:hAnsi="黑体" w:eastAsia="黑体"/>
          <w:b w:val="0"/>
          <w:bCs w:val="0"/>
        </w:rPr>
        <w:t>第二节  培育和践行社会主义核心价值观</w:t>
      </w:r>
      <w:bookmarkEnd w:id="140"/>
      <w:bookmarkEnd w:id="141"/>
    </w:p>
    <w:p>
      <w:pPr>
        <w:spacing w:line="576" w:lineRule="exact"/>
        <w:ind w:firstLine="640" w:firstLineChars="200"/>
        <w:rPr>
          <w:rFonts w:ascii="仿宋_GB2312" w:eastAsia="仿宋_GB2312"/>
          <w:sz w:val="32"/>
          <w:szCs w:val="32"/>
        </w:rPr>
      </w:pPr>
      <w:r>
        <w:rPr>
          <w:rFonts w:hint="eastAsia" w:ascii="仿宋_GB2312" w:eastAsia="仿宋_GB2312"/>
          <w:sz w:val="32"/>
          <w:szCs w:val="32"/>
        </w:rPr>
        <w:t>加强理想信念教育和党史、新中国史、改革开放史、社会主义发展史、中华民族发展史宣传教育，强化祖国统一和民族团结进步宣传教育。围绕“七一”“八一”“十一”等重大时间节点，依托革命历史类纪念设施、遗址和爱国主义教育基地，加强爱国主义、集体主义、社会主义教育，弘扬党和人民在各个历史时期奋斗中形成的伟大精神，筑牢党员干部、青少年等重点群体的理想信念之基。</w:t>
      </w:r>
    </w:p>
    <w:p>
      <w:pPr>
        <w:pStyle w:val="12"/>
        <w:spacing w:before="0" w:after="0" w:line="576" w:lineRule="exact"/>
        <w:outlineLvl w:val="9"/>
        <w:rPr>
          <w:rFonts w:ascii="黑体" w:hAnsi="黑体" w:eastAsia="黑体"/>
          <w:b w:val="0"/>
          <w:bCs w:val="0"/>
        </w:rPr>
      </w:pPr>
      <w:bookmarkStart w:id="142" w:name="_Toc16803_WPSOffice_Level2"/>
      <w:bookmarkStart w:id="143" w:name="_Toc18274_WPSOffice_Level2"/>
      <w:r>
        <w:rPr>
          <w:rFonts w:hint="eastAsia" w:ascii="黑体" w:hAnsi="黑体" w:eastAsia="黑体"/>
          <w:b w:val="0"/>
          <w:bCs w:val="0"/>
        </w:rPr>
        <w:t>第三节  深入开展群众性精神文明建设活动</w:t>
      </w:r>
      <w:bookmarkEnd w:id="142"/>
      <w:bookmarkEnd w:id="143"/>
    </w:p>
    <w:p>
      <w:pPr>
        <w:spacing w:line="576" w:lineRule="exact"/>
        <w:ind w:firstLine="645"/>
        <w:rPr>
          <w:rFonts w:ascii="仿宋_GB2312" w:eastAsia="仿宋_GB2312"/>
          <w:sz w:val="32"/>
          <w:szCs w:val="32"/>
        </w:rPr>
      </w:pPr>
      <w:r>
        <w:rPr>
          <w:rFonts w:hint="eastAsia" w:ascii="仿宋_GB2312" w:eastAsia="仿宋_GB2312"/>
          <w:sz w:val="32"/>
          <w:szCs w:val="32"/>
        </w:rPr>
        <w:t>弘扬主流价值，倡导移风易俗，推动形成良好家风、淳朴民风。广泛开展文明出行、文明交通、文明旅游、文明就餐、文明观赛等活动，引导公众自觉遵守社会交往、公共场所中的文明规范，增强公共意识、规则意识。发挥好新时代文明实践中心作用，推动新时代文明实践有效覆盖。加强网络文明建设，实现网上网下文明建设有机融合、互相促进。加强社会公德、职业道德、家庭美德、个人品德建设，提高全社会文明素养。健全家庭、学校、政府、社会相结合的思想道德教育体系，加强和改进未成年人思想道德建设，引导未成年人坚定理想信念、厚植爱国情怀、加强品德修养。组织开展党员志愿服务，鼓励各类企业、社会组织参与志愿服务，常态化动员群众就近就便参与志愿服务。</w:t>
      </w:r>
    </w:p>
    <w:p>
      <w:pPr>
        <w:pStyle w:val="12"/>
        <w:spacing w:before="0" w:after="0" w:line="576" w:lineRule="exact"/>
        <w:outlineLvl w:val="9"/>
        <w:rPr>
          <w:rFonts w:ascii="黑体" w:hAnsi="黑体" w:eastAsia="黑体"/>
          <w:b w:val="0"/>
          <w:bCs w:val="0"/>
        </w:rPr>
      </w:pPr>
      <w:bookmarkStart w:id="144" w:name="_Toc20734_WPSOffice_Level2"/>
      <w:bookmarkStart w:id="145" w:name="_Toc18064_WPSOffice_Level2"/>
      <w:r>
        <w:rPr>
          <w:rFonts w:hint="eastAsia" w:ascii="黑体" w:hAnsi="黑体" w:eastAsia="黑体"/>
          <w:b w:val="0"/>
          <w:bCs w:val="0"/>
        </w:rPr>
        <w:t>第四节  提升公共文化服务水平</w:t>
      </w:r>
      <w:bookmarkEnd w:id="144"/>
      <w:bookmarkEnd w:id="145"/>
    </w:p>
    <w:p>
      <w:pPr>
        <w:spacing w:line="576" w:lineRule="exact"/>
        <w:ind w:firstLine="645"/>
        <w:rPr>
          <w:rFonts w:ascii="仿宋_GB2312" w:eastAsia="仿宋_GB2312"/>
          <w:sz w:val="32"/>
          <w:szCs w:val="32"/>
        </w:rPr>
      </w:pPr>
      <w:r>
        <w:rPr>
          <w:rFonts w:hint="eastAsia" w:ascii="仿宋_GB2312" w:eastAsia="仿宋_GB2312"/>
          <w:sz w:val="32"/>
          <w:szCs w:val="32"/>
        </w:rPr>
        <w:t>加强公共文化机构建设管理，推动公共文化馆、图书馆拓展阵地服务功能，提升博物馆和文物保护单位展陈教育水平。落实公共文化场馆免费开放政策，精准对接群众文化需求，完善“订单式”“菜单式”“预约式”服务。优化基层文化资源配置，推进社区文化“嵌入式”服务，将文化创意融入社区生活场景。引导优质文化资源和服务向乡镇社区倾斜，加大与党群服务中心、新时代文明实践中心、公共服务中心等机构的融合力度。广泛开展全民阅读活动，丰富以阅读为核心的综合性文化服务，开展系列阅读推广活动，建设书香社会。加强新时代乌兰牧骑建设，发挥“乌兰牧骑”等红色文艺轻骑兵作用，大力发展城乡流动文化服务。建设乡镇综合文化站队伍，推动引进文艺人才从事基层文化工作。</w:t>
      </w:r>
    </w:p>
    <w:p>
      <w:pPr>
        <w:pStyle w:val="12"/>
        <w:spacing w:before="0" w:after="0" w:line="576" w:lineRule="exact"/>
        <w:outlineLvl w:val="9"/>
        <w:rPr>
          <w:rFonts w:ascii="黑体" w:hAnsi="黑体" w:eastAsia="黑体"/>
          <w:b w:val="0"/>
          <w:bCs w:val="0"/>
        </w:rPr>
      </w:pPr>
      <w:bookmarkStart w:id="146" w:name="_Toc3877_WPSOffice_Level2"/>
      <w:bookmarkStart w:id="147" w:name="_Toc29030_WPSOffice_Level2"/>
      <w:r>
        <w:rPr>
          <w:rFonts w:hint="eastAsia" w:ascii="黑体" w:hAnsi="黑体" w:eastAsia="黑体"/>
          <w:b w:val="0"/>
          <w:bCs w:val="0"/>
        </w:rPr>
        <w:t>第五节  推动文物和文化遗产保护利用</w:t>
      </w:r>
      <w:bookmarkEnd w:id="146"/>
      <w:bookmarkEnd w:id="147"/>
    </w:p>
    <w:p>
      <w:pPr>
        <w:spacing w:line="576" w:lineRule="exact"/>
        <w:ind w:firstLine="645"/>
        <w:rPr>
          <w:rFonts w:ascii="仿宋_GB2312" w:eastAsia="仿宋_GB2312"/>
          <w:sz w:val="32"/>
          <w:szCs w:val="32"/>
        </w:rPr>
      </w:pPr>
      <w:r>
        <w:rPr>
          <w:rFonts w:hint="eastAsia" w:ascii="仿宋_GB2312" w:eastAsia="仿宋_GB2312"/>
          <w:sz w:val="32"/>
          <w:szCs w:val="32"/>
        </w:rPr>
        <w:t>健全文物安全长效机制，完善可移动文物资源管理机制，加强不可移动文物和馆藏文物保护修复。做好古籍大众化传播，对人口较少民族各种形式与载体的口头传统进行记录和保存。强化非物质文化遗产调查、保存、传承、传播，动态管理各级非遗代表性项目，加强传承梯队建设，不断壮大传承队伍。建立覆盖历史文化街区、历史建筑及非物质文化遗产保护体系，促进文物建筑和历史建筑活化利用。</w:t>
      </w:r>
    </w:p>
    <w:p>
      <w:pPr>
        <w:pStyle w:val="12"/>
        <w:spacing w:before="0" w:after="0" w:line="576" w:lineRule="exact"/>
        <w:outlineLvl w:val="9"/>
        <w:rPr>
          <w:rFonts w:ascii="黑体" w:hAnsi="黑体" w:eastAsia="黑体"/>
          <w:b w:val="0"/>
          <w:bCs w:val="0"/>
        </w:rPr>
      </w:pPr>
      <w:bookmarkStart w:id="148" w:name="_Toc12598_WPSOffice_Level2"/>
      <w:bookmarkStart w:id="149" w:name="_Toc9974_WPSOffice_Level2"/>
      <w:r>
        <w:rPr>
          <w:rFonts w:hint="eastAsia" w:ascii="黑体" w:hAnsi="黑体" w:eastAsia="黑体"/>
          <w:b w:val="0"/>
          <w:bCs w:val="0"/>
        </w:rPr>
        <w:t>第六节  扩大优质文化产品供给</w:t>
      </w:r>
      <w:bookmarkEnd w:id="148"/>
      <w:bookmarkEnd w:id="149"/>
    </w:p>
    <w:p>
      <w:pPr>
        <w:spacing w:line="576" w:lineRule="exact"/>
        <w:ind w:firstLine="645"/>
        <w:rPr>
          <w:rFonts w:ascii="仿宋_GB2312" w:eastAsia="仿宋_GB2312"/>
          <w:sz w:val="32"/>
          <w:szCs w:val="32"/>
        </w:rPr>
      </w:pPr>
      <w:r>
        <w:rPr>
          <w:rFonts w:hint="eastAsia" w:ascii="仿宋_GB2312" w:eastAsia="仿宋_GB2312"/>
          <w:sz w:val="32"/>
          <w:szCs w:val="32"/>
        </w:rPr>
        <w:t>紧盯文化市场消费需求和文旅融合发展实际，创作适合不同年龄阶段人群的文化产品。用好非物质文化遗产资源，推动非遗活化利用，推出非遗记录片、打造特色文创产品、旅游商品。依托“敖鲁古雅云平台”及线上线下销售平台，搭建文创产品展示和营销平台，支持优秀文创产品开发、交流、展示与合作，实现文化价值与经济价值双向赋能。依托根河市情实际，开发特色传统节日文化、民间艺术、民俗表演项目，围绕“中国冷极”“敖鲁古雅”等名片培育独具根河特色的文化产品和服务。</w:t>
      </w:r>
      <w:bookmarkStart w:id="150" w:name="_Toc26052_WPSOffice_Level1"/>
      <w:r>
        <w:rPr>
          <w:rFonts w:hint="eastAsia" w:ascii="仿宋_GB2312" w:eastAsia="仿宋_GB2312"/>
          <w:sz w:val="32"/>
          <w:szCs w:val="32"/>
        </w:rPr>
        <w:t>加强驯鹿文化保护与发展，深入挖掘森工文化、冰雪文化和民俗文化内涵，收集整理民间故事、歌谣等，编纂出版特色文化丛书，讲好根河文化故事。</w:t>
      </w:r>
    </w:p>
    <w:p>
      <w:pPr>
        <w:pStyle w:val="12"/>
        <w:spacing w:before="0" w:after="0"/>
        <w:outlineLvl w:val="9"/>
        <w:rPr>
          <w:rFonts w:ascii="方正小标宋简体" w:hAnsi="黑体" w:eastAsia="方正小标宋简体"/>
          <w:b w:val="0"/>
          <w:sz w:val="36"/>
          <w:szCs w:val="36"/>
        </w:rPr>
      </w:pPr>
      <w:bookmarkStart w:id="151" w:name="_Toc11707_WPSOffice_Level1"/>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r>
        <w:rPr>
          <w:rFonts w:hint="eastAsia" w:ascii="方正小标宋简体" w:hAnsi="黑体" w:eastAsia="方正小标宋简体"/>
          <w:b w:val="0"/>
          <w:sz w:val="36"/>
          <w:szCs w:val="36"/>
        </w:rPr>
        <w:t>第十五章 持续增进民生福祉 不断提高人民生活品质</w:t>
      </w:r>
      <w:bookmarkEnd w:id="150"/>
      <w:bookmarkEnd w:id="151"/>
    </w:p>
    <w:p>
      <w:pPr>
        <w:pStyle w:val="10"/>
        <w:spacing w:before="0" w:after="0" w:line="576" w:lineRule="exact"/>
        <w:ind w:firstLine="660"/>
        <w:jc w:val="both"/>
        <w:outlineLvl w:val="9"/>
        <w:rPr>
          <w:rFonts w:ascii="仿宋_GB2312" w:eastAsia="仿宋_GB2312"/>
          <w:b w:val="0"/>
        </w:rPr>
      </w:pPr>
    </w:p>
    <w:p>
      <w:pPr>
        <w:pStyle w:val="10"/>
        <w:spacing w:before="0" w:after="0" w:line="576" w:lineRule="exact"/>
        <w:ind w:firstLine="660"/>
        <w:jc w:val="both"/>
        <w:outlineLvl w:val="9"/>
        <w:rPr>
          <w:rFonts w:ascii="仿宋_GB2312" w:eastAsia="仿宋_GB2312"/>
          <w:b w:val="0"/>
        </w:rPr>
      </w:pPr>
      <w:r>
        <w:rPr>
          <w:rFonts w:hint="eastAsia" w:ascii="仿宋_GB2312" w:eastAsia="仿宋_GB2312"/>
          <w:b w:val="0"/>
        </w:rPr>
        <w:t>坚持以人民为中心的发展思想，聚焦提高人民生活品质，加快各项社会事业发展，增强基本公共服务均衡性和可及性，不断提升民生保障水平，让发展成果更多更公平惠及人民。</w:t>
      </w:r>
    </w:p>
    <w:p>
      <w:pPr>
        <w:pStyle w:val="12"/>
        <w:spacing w:before="0" w:after="0" w:line="576" w:lineRule="exact"/>
        <w:outlineLvl w:val="9"/>
        <w:rPr>
          <w:rFonts w:ascii="黑体" w:hAnsi="黑体" w:eastAsia="黑体"/>
          <w:b w:val="0"/>
          <w:bCs w:val="0"/>
        </w:rPr>
      </w:pPr>
      <w:bookmarkStart w:id="152" w:name="_Toc17538_WPSOffice_Level2"/>
      <w:bookmarkStart w:id="153" w:name="_Toc13205_WPSOffice_Level2"/>
      <w:r>
        <w:rPr>
          <w:rFonts w:hint="eastAsia" w:ascii="黑体" w:hAnsi="黑体" w:eastAsia="黑体"/>
          <w:b w:val="0"/>
          <w:bCs w:val="0"/>
        </w:rPr>
        <w:t>第一节  推动实现更高质量充分就业</w:t>
      </w:r>
      <w:bookmarkEnd w:id="152"/>
      <w:bookmarkEnd w:id="153"/>
    </w:p>
    <w:p>
      <w:pPr>
        <w:pStyle w:val="10"/>
        <w:spacing w:before="0" w:after="0" w:line="576" w:lineRule="exact"/>
        <w:ind w:firstLine="660"/>
        <w:jc w:val="both"/>
        <w:outlineLvl w:val="9"/>
        <w:rPr>
          <w:rFonts w:ascii="仿宋_GB2312" w:eastAsia="仿宋_GB2312"/>
          <w:b w:val="0"/>
        </w:rPr>
      </w:pPr>
      <w:r>
        <w:rPr>
          <w:rFonts w:hint="eastAsia" w:ascii="仿宋_GB2312" w:eastAsia="仿宋_GB2312"/>
          <w:b w:val="0"/>
        </w:rPr>
        <w:t>把就业摆在民生保障首位，实施就业优先政策，健全就业服务体系，促进充分就业和高质量就业。“十五五”期间，城镇新就业人数累计达5000人以上。</w:t>
      </w:r>
    </w:p>
    <w:p>
      <w:pPr>
        <w:pStyle w:val="10"/>
        <w:spacing w:before="0" w:after="0" w:line="576" w:lineRule="exact"/>
        <w:ind w:firstLine="660"/>
        <w:jc w:val="both"/>
        <w:outlineLvl w:val="9"/>
        <w:rPr>
          <w:rFonts w:ascii="仿宋_GB2312" w:eastAsia="仿宋_GB2312"/>
          <w:b w:val="0"/>
        </w:rPr>
      </w:pPr>
      <w:r>
        <w:rPr>
          <w:rFonts w:hint="eastAsia" w:ascii="楷体_GB2312" w:hAnsi="楷体" w:eastAsia="楷体_GB2312" w:cs="Times New Roman"/>
          <w:bCs w:val="0"/>
          <w:kern w:val="2"/>
        </w:rPr>
        <w:t>扩大就业岗位供给。</w:t>
      </w:r>
      <w:r>
        <w:rPr>
          <w:rFonts w:hint="eastAsia" w:ascii="仿宋_GB2312" w:eastAsia="仿宋_GB2312"/>
          <w:b w:val="0"/>
        </w:rPr>
        <w:t>支持发展实体经济，鼓励发展劳动密集型产业，加大对个体工商户、灵活就业人员创业创新扶持力度，落实创业担保贷款、创业培训等扶持政策，推进创业载体规范化建设，激活创新创业主体内在动能，以创业带动就业。重点发展农畜林产品加工业、文旅服务业和林下经济等，增加就业岗位。围绕护林防火、城市管理、卫生保洁等开发公益性岗位。落实减税降费、稳岗返还等政策，支持企业稳定就业。</w:t>
      </w:r>
    </w:p>
    <w:p>
      <w:pPr>
        <w:pStyle w:val="10"/>
        <w:spacing w:before="0" w:after="0" w:line="576" w:lineRule="exact"/>
        <w:ind w:firstLine="660"/>
        <w:jc w:val="both"/>
        <w:outlineLvl w:val="9"/>
        <w:rPr>
          <w:rFonts w:ascii="仿宋_GB2312" w:eastAsia="仿宋_GB2312"/>
          <w:b w:val="0"/>
        </w:rPr>
      </w:pPr>
      <w:r>
        <w:rPr>
          <w:rFonts w:hint="eastAsia" w:ascii="楷体_GB2312" w:hAnsi="楷体" w:eastAsia="楷体_GB2312" w:cs="Times New Roman"/>
          <w:bCs w:val="0"/>
          <w:kern w:val="2"/>
        </w:rPr>
        <w:t>加强就业服务体系建设。</w:t>
      </w:r>
      <w:r>
        <w:rPr>
          <w:rFonts w:hint="eastAsia" w:ascii="仿宋_GB2312" w:eastAsia="仿宋_GB2312"/>
          <w:b w:val="0"/>
        </w:rPr>
        <w:t>健全公共就业服务体系，在乡镇和街道建设标准化、信息化就业服务中心，拓展服务功能。推进“互联网＋”公共就业服务，促进就业供需精准对接。开展“春风行动”等专项服务活动，定期收集和发布就业岗位信息，提高劳动力就业的组织化程度。适应旅游城市建设和以旅游业带动产业转型的需要，采取引进外地培训力量和挖掘本市培训资源相结合，健全职业技能培训队伍，构筑覆盖全体劳动者的职业培训体系。探索建立“企业订单、劳动者选单、培训机构接单、政府买单”的培训机制，以劳动力市场需求为方向，开展针对性培训，切实提高劳动力的就业技能和市场竞争力。</w:t>
      </w:r>
    </w:p>
    <w:p>
      <w:pPr>
        <w:pStyle w:val="10"/>
        <w:spacing w:before="0" w:after="0" w:line="576" w:lineRule="exact"/>
        <w:ind w:firstLine="660"/>
        <w:jc w:val="both"/>
        <w:outlineLvl w:val="9"/>
        <w:rPr>
          <w:rFonts w:ascii="仿宋_GB2312" w:eastAsia="仿宋_GB2312"/>
          <w:b w:val="0"/>
        </w:rPr>
      </w:pPr>
      <w:r>
        <w:rPr>
          <w:rFonts w:hint="eastAsia" w:ascii="楷体_GB2312" w:hAnsi="楷体" w:eastAsia="楷体_GB2312" w:cs="Times New Roman"/>
          <w:bCs w:val="0"/>
          <w:kern w:val="2"/>
        </w:rPr>
        <w:t>统筹推进重点群体就业。</w:t>
      </w:r>
      <w:r>
        <w:rPr>
          <w:rFonts w:hint="eastAsia" w:ascii="仿宋_GB2312" w:eastAsia="仿宋_GB2312"/>
          <w:b w:val="0"/>
        </w:rPr>
        <w:t>高度重视退役军人、高校毕业生等重点群体就业，落实重点群体就业支持政策，多渠道扩大重点群体就业。加大对困难群体、长期失业青年、零就业家庭、残疾人、妇女、老龄人口等就业帮扶，促进各类群体多种形式就业增收，零就业家庭实现动态清零。规范招人用人制度，尊重劳动者和用人单位主体地位，着力消除影响平等就业的制度障碍。建立失业动态监测机制，及时掌握就业形势变化，健全劳动合同制度，落实最低工资标准，加大劳动保障监察执法力度，查处拖欠工资等违法行为，维护劳动者合法权益。</w:t>
      </w:r>
    </w:p>
    <w:p>
      <w:pPr>
        <w:pStyle w:val="12"/>
        <w:spacing w:before="0" w:after="0" w:line="576" w:lineRule="exact"/>
        <w:outlineLvl w:val="9"/>
        <w:rPr>
          <w:rFonts w:ascii="黑体" w:hAnsi="黑体" w:eastAsia="黑体"/>
          <w:b w:val="0"/>
          <w:bCs w:val="0"/>
        </w:rPr>
      </w:pPr>
      <w:bookmarkStart w:id="154" w:name="_Toc5976_WPSOffice_Level2"/>
      <w:bookmarkStart w:id="155" w:name="_Toc23130_WPSOffice_Level2"/>
      <w:r>
        <w:rPr>
          <w:rFonts w:hint="eastAsia" w:ascii="黑体" w:hAnsi="黑体" w:eastAsia="黑体"/>
          <w:b w:val="0"/>
          <w:bCs w:val="0"/>
        </w:rPr>
        <w:t>第二节  拓宽居民增收渠道</w:t>
      </w:r>
      <w:bookmarkEnd w:id="154"/>
      <w:bookmarkEnd w:id="155"/>
    </w:p>
    <w:p>
      <w:pPr>
        <w:pStyle w:val="10"/>
        <w:spacing w:before="0" w:after="0" w:line="576" w:lineRule="exact"/>
        <w:ind w:firstLine="660"/>
        <w:jc w:val="both"/>
        <w:outlineLvl w:val="9"/>
        <w:rPr>
          <w:rFonts w:ascii="仿宋_GB2312" w:eastAsia="仿宋_GB2312"/>
          <w:b w:val="0"/>
        </w:rPr>
      </w:pPr>
      <w:r>
        <w:rPr>
          <w:rFonts w:hint="eastAsia" w:ascii="仿宋_GB2312" w:eastAsia="仿宋_GB2312"/>
          <w:b w:val="0"/>
        </w:rPr>
        <w:t>落实初次分配、再分配、三次分配协调配套的基础性制度安排，促进居民收入增长和经济增长基本同步、劳动报酬提高与劳动生产率提高基本同步。贯彻落实机关事业单位收入分配政策，争取国家、自治区调整艰苦边远地区津贴类别，为符合条件的事业编制人员发放交通补贴。加强拖欠农民工工资源头预防和风险预警。拓展居民财产性增收渠道，正确引导居民增强投资理财意识。大力发展实体经济，支持个体工商户和民营企业发展，落实税费减免、场地支持等政策，鼓励扩大经营规模。鼓励居民发展林下种植、特色养殖等产业，增加经营性收入。提升托底保障能力，及时启动社会救助和保障标准与物价上涨挂钩联动机制，足额向低保对象、特困人员等群体发放价格临时补贴。“十五五”时期，力争居民人均可支配收入年均增长4%左右。</w:t>
      </w:r>
    </w:p>
    <w:p>
      <w:pPr>
        <w:pStyle w:val="12"/>
        <w:spacing w:before="0" w:after="0" w:line="576" w:lineRule="exact"/>
        <w:outlineLvl w:val="9"/>
        <w:rPr>
          <w:rFonts w:ascii="黑体" w:hAnsi="黑体" w:eastAsia="黑体"/>
          <w:b w:val="0"/>
          <w:bCs w:val="0"/>
        </w:rPr>
      </w:pPr>
      <w:bookmarkStart w:id="156" w:name="_Toc10709_WPSOffice_Level2"/>
      <w:bookmarkStart w:id="157" w:name="_Toc25596_WPSOffice_Level2"/>
      <w:r>
        <w:rPr>
          <w:rFonts w:hint="eastAsia" w:ascii="黑体" w:hAnsi="黑体" w:eastAsia="黑体"/>
          <w:b w:val="0"/>
          <w:bCs w:val="0"/>
        </w:rPr>
        <w:t>第三节  完善社会保障体系</w:t>
      </w:r>
      <w:bookmarkEnd w:id="156"/>
      <w:bookmarkEnd w:id="157"/>
    </w:p>
    <w:p>
      <w:pPr>
        <w:pStyle w:val="10"/>
        <w:spacing w:before="0" w:after="0" w:line="576" w:lineRule="exact"/>
        <w:ind w:firstLine="660"/>
        <w:jc w:val="both"/>
        <w:outlineLvl w:val="9"/>
        <w:rPr>
          <w:rFonts w:ascii="仿宋_GB2312" w:eastAsia="仿宋_GB2312"/>
          <w:b w:val="0"/>
        </w:rPr>
      </w:pPr>
      <w:r>
        <w:rPr>
          <w:rFonts w:hint="eastAsia" w:ascii="仿宋_GB2312" w:eastAsia="仿宋_GB2312"/>
          <w:b w:val="0"/>
        </w:rPr>
        <w:t>坚持尽力而为、量力而行，健全覆盖全民、统筹城乡、公平统一、安全规范、可持续的多层次社会保障体系，为人民群众提供更加坚实、普惠、可靠的基本生活保障、推动实现应保尽保。</w:t>
      </w:r>
    </w:p>
    <w:p>
      <w:pPr>
        <w:pStyle w:val="10"/>
        <w:spacing w:before="0" w:after="0" w:line="576" w:lineRule="exact"/>
        <w:ind w:firstLine="660"/>
        <w:jc w:val="both"/>
        <w:outlineLvl w:val="9"/>
        <w:rPr>
          <w:rFonts w:ascii="仿宋_GB2312" w:eastAsia="仿宋_GB2312"/>
          <w:b w:val="0"/>
        </w:rPr>
      </w:pPr>
      <w:r>
        <w:rPr>
          <w:rFonts w:hint="eastAsia" w:ascii="楷体_GB2312" w:hAnsi="楷体" w:eastAsia="楷体_GB2312" w:cs="Times New Roman"/>
          <w:bCs w:val="0"/>
          <w:kern w:val="2"/>
        </w:rPr>
        <w:t>完善社会保障制度体系。</w:t>
      </w:r>
      <w:r>
        <w:rPr>
          <w:rFonts w:hint="eastAsia" w:ascii="仿宋_GB2312" w:eastAsia="仿宋_GB2312"/>
          <w:b w:val="0"/>
        </w:rPr>
        <w:t>扩大社会保险覆盖面，推进全民参保计划。落实基本养老保险缴费政策和企业职工、城镇居民养老保险制度，全面落实企业职工基本养老保险全国统筹，落实地方财政补充养老保险基金投入长效机制。稳步推进机关事业单位养老保险制度改革。落实国家渐进式延迟法定退休年龄政策，逐步提高领取基本养老金最低缴费年限。落实失业保险基金自治区级统筹制度，推进失业保险金标准与最低工资标准挂钩联动。扩大工伤保险参保覆盖面。完善社会保险经办服务，推进“互联网+社保”服务，实现社保业务“一网通办”“跨省通办”，提高服务效率。</w:t>
      </w:r>
    </w:p>
    <w:p>
      <w:pPr>
        <w:pStyle w:val="10"/>
        <w:spacing w:before="0" w:after="0" w:line="576" w:lineRule="exact"/>
        <w:ind w:firstLine="660"/>
        <w:jc w:val="both"/>
        <w:outlineLvl w:val="9"/>
        <w:rPr>
          <w:rFonts w:ascii="仿宋_GB2312" w:eastAsia="仿宋_GB2312"/>
          <w:b w:val="0"/>
        </w:rPr>
      </w:pPr>
      <w:r>
        <w:rPr>
          <w:rFonts w:hint="eastAsia" w:ascii="楷体_GB2312" w:hAnsi="楷体" w:eastAsia="楷体_GB2312" w:cs="Times New Roman"/>
          <w:bCs w:val="0"/>
          <w:kern w:val="2"/>
        </w:rPr>
        <w:t>健全医疗保障制度体系。</w:t>
      </w:r>
      <w:r>
        <w:rPr>
          <w:rFonts w:hint="eastAsia" w:ascii="仿宋_GB2312" w:eastAsia="仿宋_GB2312"/>
          <w:b w:val="0"/>
        </w:rPr>
        <w:t>推进基本医疗保险、大病保险、医疗救助等制度衔接，确保困难群众基本医疗有保障。落实门诊慢特病和“两病”用药保障机制。完善跨部门协调机制，确保困难群众参保全覆盖。充分发挥医疗救助兜底保障作用，减轻困难群众看病就医负担。推进医保经办管理服务体系建设，推行医保经办服务“一窗通办”，高频服务事项“网上办”。优化医保关系转移接续，简化异地就医备案流程，提升异地就医直接结算比率，缩短办理时限，为群众提供更贴心更暖心的医疗保障服务。加强医保基金使用常态化监管，保障医保基金安全运行。</w:t>
      </w:r>
    </w:p>
    <w:p>
      <w:pPr>
        <w:pStyle w:val="10"/>
        <w:spacing w:before="0" w:after="0" w:line="576" w:lineRule="exact"/>
        <w:ind w:firstLine="660"/>
        <w:jc w:val="both"/>
        <w:outlineLvl w:val="9"/>
        <w:rPr>
          <w:rFonts w:ascii="仿宋_GB2312" w:eastAsia="仿宋_GB2312"/>
          <w:b w:val="0"/>
        </w:rPr>
      </w:pPr>
      <w:r>
        <w:rPr>
          <w:rFonts w:hint="eastAsia" w:ascii="楷体_GB2312" w:hAnsi="楷体" w:eastAsia="楷体_GB2312" w:cs="Times New Roman"/>
          <w:bCs w:val="0"/>
          <w:kern w:val="2"/>
        </w:rPr>
        <w:t>完善社会救助体系。</w:t>
      </w:r>
      <w:r>
        <w:rPr>
          <w:rFonts w:hint="eastAsia" w:ascii="仿宋_GB2312" w:eastAsia="仿宋_GB2312"/>
          <w:b w:val="0"/>
        </w:rPr>
        <w:t>完善城镇低保、特困人员供养等基本生活救助制度，动态调整城镇低保、特困人员供养标准，及时将符合条件的困难家庭纳入低保和特困供养范围，对因灾、因病等原因造成的临时致贫或返贫群众，加大专项救助力度。完善临时救助政策措施，精准实施分类救助，强化对困难群体的基本生活保障。健全社会救助对象定期核查机制，规范救助对象家庭人口、经济状况重大变化报告，加强分类动态管理，夯实低保规范管理长效机制。落实儿童福利和残疾人福利制度。加强社会救助信息化建设，建立社会救助大数据平台，实现救助对象精准识别、精准救助。</w:t>
      </w:r>
    </w:p>
    <w:p>
      <w:pPr>
        <w:pStyle w:val="10"/>
        <w:spacing w:before="0" w:after="0" w:line="576" w:lineRule="exact"/>
        <w:ind w:firstLine="660"/>
        <w:jc w:val="both"/>
        <w:outlineLvl w:val="9"/>
        <w:rPr>
          <w:rFonts w:ascii="仿宋_GB2312" w:eastAsia="仿宋_GB2312"/>
          <w:b w:val="0"/>
        </w:rPr>
      </w:pPr>
      <w:r>
        <w:rPr>
          <w:rFonts w:hint="eastAsia" w:ascii="楷体_GB2312" w:hAnsi="楷体" w:eastAsia="楷体_GB2312" w:cs="Times New Roman"/>
          <w:bCs w:val="0"/>
          <w:kern w:val="2"/>
        </w:rPr>
        <w:t>发展社会福利事业。</w:t>
      </w:r>
      <w:r>
        <w:rPr>
          <w:rFonts w:hint="eastAsia" w:ascii="仿宋_GB2312" w:eastAsia="仿宋_GB2312"/>
          <w:b w:val="0"/>
        </w:rPr>
        <w:t>发展慈善事业，鼓励社会力量参与慈善活动，弘扬慈善文化。推进公益性殡葬服务设施建设和管理，加强公益性、生态型公墓建设，新建根河市殡仪馆分馆、骨灰寄存楼等项目。推进红十字事业发展，加强公信力建设，提升人道公益事业社会参与度。完善社会福利制度，按时足额发放高龄老人、经济困难老人补贴。</w:t>
      </w:r>
    </w:p>
    <w:p>
      <w:pPr>
        <w:pStyle w:val="12"/>
        <w:spacing w:before="0" w:after="0" w:line="576" w:lineRule="exact"/>
        <w:outlineLvl w:val="9"/>
        <w:rPr>
          <w:rFonts w:ascii="黑体" w:hAnsi="黑体" w:eastAsia="黑体"/>
          <w:b w:val="0"/>
          <w:bCs w:val="0"/>
        </w:rPr>
      </w:pPr>
      <w:bookmarkStart w:id="158" w:name="_Toc25573_WPSOffice_Level2"/>
      <w:bookmarkStart w:id="159" w:name="_Toc32207_WPSOffice_Level2"/>
      <w:r>
        <w:rPr>
          <w:rFonts w:hint="eastAsia" w:ascii="黑体" w:hAnsi="黑体" w:eastAsia="黑体"/>
          <w:b w:val="0"/>
          <w:bCs w:val="0"/>
        </w:rPr>
        <w:t>第四节  健全“一老一小”服务体系</w:t>
      </w:r>
      <w:bookmarkEnd w:id="158"/>
      <w:bookmarkEnd w:id="159"/>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优化生育政策。</w:t>
      </w:r>
      <w:r>
        <w:rPr>
          <w:rFonts w:hint="eastAsia" w:ascii="仿宋_GB2312" w:hAnsi="仿宋_GB2312" w:eastAsia="仿宋_GB2312" w:cs="仿宋_GB2312"/>
          <w:sz w:val="32"/>
          <w:szCs w:val="32"/>
        </w:rPr>
        <w:t>稳妥实施三孩生育政策，推进三孩生育政策及配套支持措施有效落实，发放二孩、三孩育儿津贴和托育补贴。健全完善人口服务管理、生育休假、女性职业保障等制度，加快入户、入学、入职、评先评优、晋级晋升等与个人生育情况全面脱钩，提倡科学备孕和适龄怀孕，深入实施母婴安全五项制度、出生缺陷防治能力提升计划，加强家庭科学育儿指导服务。</w:t>
      </w:r>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提升托育服务供给能力。</w:t>
      </w:r>
      <w:r>
        <w:rPr>
          <w:rFonts w:hint="eastAsia" w:ascii="仿宋_GB2312" w:hAnsi="仿宋_GB2312" w:eastAsia="仿宋_GB2312" w:cs="仿宋_GB2312"/>
          <w:sz w:val="32"/>
          <w:szCs w:val="32"/>
        </w:rPr>
        <w:t>完善托育机构建设和运营补贴制度，采取公办民营、民办公助等方式，举办非营利性托育服务机构。支持有条件的公办幼儿园实现托幼一体化发展。发展普惠托育服务，支持企事业单位和社会组织、社区等提供普惠托育和婴幼儿照护服务。推动将托育服务纳入社区服务体系，明确托育服务项目、供给主体和供给方式，提升托育服务供给水平。</w:t>
      </w:r>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强化养老体系建设。</w:t>
      </w:r>
      <w:r>
        <w:rPr>
          <w:rFonts w:hint="eastAsia" w:ascii="仿宋_GB2312" w:hAnsi="仿宋_GB2312" w:eastAsia="仿宋_GB2312" w:cs="仿宋_GB2312"/>
          <w:sz w:val="32"/>
          <w:szCs w:val="32"/>
        </w:rPr>
        <w:t>继续开展老年友善医疗机构建设，设立嵌入式医养结合机构，满足养老服务中心老年人医疗服务需求。推动康养旅居养老服务项目建设。巩固居家养老基础作用，培育专业化服务机构，推出就近照护、上门服务的养老综合服务，更好满足居家照护服务需求。推动居家、社区和机构养老融合发展，发展普惠型养老服务和互助性养老，提升公办养老机构服务能力。加强公办和公建民营养老机构建设，完善基本养老服务清单制度，推动将社区养老服务纳入社区服务体系，因地制宜推进区域性养老服务中心建设。深入发展老年助餐、助医、陪护、照料等养老服务，不断增强老年人获得感、幸福感、安全感。推动发展养老产业。支持社会力量参与养老服务，降低社会力量进入养老服务领域的门槛和成本。发展银发经济。发展“互联网+居家养老”服务模式，为老年人提供在线问诊、用药提醒、安全监测、远程探视等功能。</w:t>
      </w:r>
    </w:p>
    <w:p>
      <w:pPr>
        <w:pStyle w:val="12"/>
        <w:spacing w:before="0" w:after="0" w:line="576" w:lineRule="exact"/>
        <w:outlineLvl w:val="9"/>
        <w:rPr>
          <w:rFonts w:ascii="黑体" w:hAnsi="黑体" w:eastAsia="黑体"/>
          <w:b w:val="0"/>
          <w:bCs w:val="0"/>
        </w:rPr>
      </w:pPr>
      <w:bookmarkStart w:id="160" w:name="_Toc6724_WPSOffice_Level2"/>
      <w:bookmarkStart w:id="161" w:name="_Toc28261_WPSOffice_Level2"/>
      <w:r>
        <w:rPr>
          <w:rFonts w:hint="eastAsia" w:ascii="黑体" w:hAnsi="黑体" w:eastAsia="黑体"/>
          <w:b w:val="0"/>
          <w:bCs w:val="0"/>
        </w:rPr>
        <w:t>第五节  保障重点群体权益</w:t>
      </w:r>
      <w:bookmarkEnd w:id="160"/>
      <w:bookmarkEnd w:id="161"/>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促进妇女全面发展。</w:t>
      </w:r>
      <w:r>
        <w:rPr>
          <w:rFonts w:hint="eastAsia" w:ascii="仿宋_GB2312" w:hAnsi="仿宋_GB2312" w:eastAsia="仿宋_GB2312" w:cs="仿宋_GB2312"/>
          <w:sz w:val="32"/>
          <w:szCs w:val="32"/>
        </w:rPr>
        <w:t>坚持男女平等基本国策，贯彻落实妇女发展纲要任务，保障妇女合法权益。健全妇女健康服务网络，开展“两癌”筛查宣传活动，精准实施“两癌”患病妇女救助工作，推广普及妇女“两癌”防治知识，引导妇女积极参与全民健身行动。统筹各级各类资源，拓宽女性就业渠道，搭建供需对接平台，助力妇女创业就业之路。提高妇女尊法学法守法用法的意识和能力，优化妇女发展环境，预防和制止针对妇女的一切形式的家庭暴力及违法犯罪行为。</w:t>
      </w:r>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关爱未成年人成长。</w:t>
      </w:r>
      <w:r>
        <w:rPr>
          <w:rFonts w:hint="eastAsia" w:ascii="仿宋_GB2312" w:hAnsi="仿宋_GB2312" w:eastAsia="仿宋_GB2312" w:cs="仿宋_GB2312"/>
          <w:sz w:val="32"/>
          <w:szCs w:val="32"/>
        </w:rPr>
        <w:t>贯彻落实儿童发展纲要任务，坚持儿童优先发展，推动公共资源配置优先满足儿童需要。改善儿童发展环境，全面保障儿童生存发展、受保护和参与的权利。认真落实未成年人保护、服务、管理工作，优化儿童福利服务、未成年人救助保护、流浪救助服务。完善孤儿基本生活、医疗、康复、教育等保障制度，按时足额发放孤儿基本生活费。聚焦青年成长需求，推出“青年夜校”等服务，强化“青”字号品牌引领作用，广泛动员青年参与创建，深化“我为青年办实事”，引领青年投身创新创业实践。</w:t>
      </w:r>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提升残疾人服务保障水平。</w:t>
      </w:r>
      <w:r>
        <w:rPr>
          <w:rFonts w:hint="eastAsia" w:ascii="仿宋_GB2312" w:hAnsi="仿宋_GB2312" w:eastAsia="仿宋_GB2312" w:cs="仿宋_GB2312"/>
          <w:sz w:val="32"/>
          <w:szCs w:val="32"/>
        </w:rPr>
        <w:t>做好残疾人事业经费保障和残疾人两项补贴发放，为符合条件的残疾人和残疾人家庭提供特困人员救助供养或最低生活保障，加强对重度残疾人托养照护服务。落实按比例安排残疾人就业政策，推动党政机关、事业单位和国有企业带头安置残疾人就业。做好残疾人职业技能培训，提高残疾人就业保障金用于残疾人就业工作的比例，促进残疾人就业。落实好残疾人社会福利制度和社会优待政策，发展残疾人托养和照护服务，提高残疾人养老、医疗保险参保率，推进困难重度残疾人家庭无障碍改造，提高生活质量。加强残疾预防与康复服务，完善服务、康复及托养设施。</w:t>
      </w:r>
    </w:p>
    <w:p>
      <w:pPr>
        <w:pStyle w:val="12"/>
        <w:spacing w:before="0" w:after="0" w:line="576" w:lineRule="exact"/>
        <w:outlineLvl w:val="9"/>
        <w:rPr>
          <w:rFonts w:ascii="黑体" w:hAnsi="黑体" w:eastAsia="黑体"/>
          <w:b w:val="0"/>
          <w:bCs w:val="0"/>
        </w:rPr>
      </w:pPr>
      <w:bookmarkStart w:id="162" w:name="_Toc2986_WPSOffice_Level2"/>
      <w:bookmarkStart w:id="163" w:name="_Toc24493_WPSOffice_Level2"/>
      <w:r>
        <w:rPr>
          <w:rFonts w:hint="eastAsia" w:ascii="黑体" w:hAnsi="黑体" w:eastAsia="黑体"/>
          <w:b w:val="0"/>
          <w:bCs w:val="0"/>
        </w:rPr>
        <w:t>第六节  持续推进健康根河建设</w:t>
      </w:r>
      <w:bookmarkEnd w:id="162"/>
      <w:bookmarkEnd w:id="163"/>
    </w:p>
    <w:p>
      <w:pPr>
        <w:spacing w:line="576"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加快推动卫生健康工作理念、服务方式从以治病为中心转变为以人民健康为中心，建立健康教育体系，实施医疗卫生“强基工程”，建设紧密型医联体，形成有利于健康的生活方式、生态环境和社会环境。</w:t>
      </w:r>
    </w:p>
    <w:p>
      <w:pPr>
        <w:spacing w:line="576" w:lineRule="exact"/>
        <w:ind w:firstLine="642" w:firstLineChars="200"/>
        <w:rPr>
          <w:rFonts w:ascii="楷体_GB2312" w:hAnsi="楷体_GB2312" w:eastAsia="楷体_GB2312" w:cs="楷体_GB2312"/>
          <w:b/>
          <w:bCs/>
          <w:sz w:val="32"/>
          <w:szCs w:val="32"/>
        </w:rPr>
      </w:pPr>
      <w:r>
        <w:rPr>
          <w:rFonts w:hint="eastAsia" w:ascii="楷体_GB2312" w:hAnsi="楷体" w:eastAsia="楷体_GB2312"/>
          <w:b/>
          <w:sz w:val="32"/>
          <w:szCs w:val="32"/>
        </w:rPr>
        <w:t>提高全民健康素养。</w:t>
      </w:r>
      <w:r>
        <w:rPr>
          <w:rFonts w:hint="eastAsia" w:ascii="仿宋_GB2312" w:hAnsi="仿宋_GB2312" w:eastAsia="仿宋_GB2312" w:cs="仿宋_GB2312"/>
          <w:sz w:val="32"/>
          <w:szCs w:val="32"/>
        </w:rPr>
        <w:t>加强健康教育，引导群众形成健康生活方式，提升居民健康素养水平。建立和完善戒烟服务体系，打造无烟党政机关、无烟医院、绿色学校等无烟环境。建设心理健康服务体系，加大心理健康科普宣传力度，提升全民心理健康素质。深入开展爱国卫生运动，营造有利于健康的生产生活环境。</w:t>
      </w:r>
    </w:p>
    <w:p>
      <w:pPr>
        <w:spacing w:line="576" w:lineRule="exact"/>
        <w:ind w:firstLine="629" w:firstLineChars="196"/>
        <w:rPr>
          <w:rFonts w:ascii="楷体_GB2312" w:hAnsi="楷体_GB2312" w:eastAsia="楷体_GB2312" w:cs="楷体_GB2312"/>
          <w:b/>
          <w:bCs/>
          <w:sz w:val="32"/>
          <w:szCs w:val="32"/>
        </w:rPr>
      </w:pPr>
      <w:r>
        <w:rPr>
          <w:rFonts w:hint="eastAsia" w:ascii="楷体_GB2312" w:hAnsi="楷体" w:eastAsia="楷体_GB2312"/>
          <w:b/>
          <w:sz w:val="32"/>
          <w:szCs w:val="32"/>
        </w:rPr>
        <w:t>健全完善医疗卫生服务体系。</w:t>
      </w:r>
      <w:r>
        <w:rPr>
          <w:rFonts w:hint="eastAsia" w:ascii="仿宋_GB2312" w:hAnsi="仿宋_GB2312" w:eastAsia="仿宋_GB2312" w:cs="仿宋_GB2312"/>
          <w:sz w:val="32"/>
          <w:szCs w:val="32"/>
        </w:rPr>
        <w:t>加强县级医院临床专科和管理能力建设，提高重大疾病诊疗能力。</w:t>
      </w:r>
      <w:r>
        <w:rPr>
          <w:rFonts w:hint="eastAsia" w:ascii="仿宋_GB2312" w:hAnsi="仿宋_GB2312" w:eastAsia="仿宋_GB2312" w:cs="仿宋_GB2312"/>
          <w:bCs/>
          <w:sz w:val="32"/>
          <w:szCs w:val="32"/>
        </w:rPr>
        <w:t>完善分级诊疗体系。推进紧密型县域医共体建设，完善连续通畅的双向转诊服务路径，实现</w:t>
      </w:r>
      <w:r>
        <w:rPr>
          <w:rFonts w:hint="eastAsia" w:ascii="仿宋_GB2312" w:hAnsi="仿宋_GB2312" w:eastAsia="仿宋_GB2312" w:cs="仿宋_GB2312"/>
          <w:sz w:val="32"/>
          <w:szCs w:val="32"/>
        </w:rPr>
        <w:t>优质医疗资源下沉</w:t>
      </w:r>
      <w:r>
        <w:rPr>
          <w:rFonts w:hint="eastAsia" w:ascii="仿宋_GB2312" w:hAnsi="仿宋_GB2312" w:eastAsia="仿宋_GB2312" w:cs="仿宋_GB2312"/>
          <w:bCs/>
          <w:sz w:val="32"/>
          <w:szCs w:val="32"/>
        </w:rPr>
        <w:t>。</w:t>
      </w:r>
      <w:r>
        <w:rPr>
          <w:rFonts w:hint="eastAsia" w:ascii="仿宋_GB2312" w:hAnsi="仿宋_GB2312" w:eastAsia="仿宋_GB2312" w:cs="仿宋_GB2312"/>
          <w:sz w:val="32"/>
          <w:szCs w:val="32"/>
        </w:rPr>
        <w:t>以基层医疗卫生机构为主要平台，建立家庭医生签约服务模式，逐步形成家庭医生首诊、转诊和下转接诊的服务模式。强化基层医疗卫生服务网底，增强县级医院常见病、多发病、慢性病诊疗护理和危急重症救治、疑难复杂疾病向上转诊及公共卫生服务功能，增</w:t>
      </w:r>
      <w:r>
        <w:rPr>
          <w:rFonts w:hint="eastAsia" w:ascii="仿宋_GB2312" w:hAnsi="宋体" w:eastAsia="仿宋_GB2312" w:cs="宋体"/>
          <w:sz w:val="32"/>
          <w:szCs w:val="32"/>
        </w:rPr>
        <w:t>强乡镇卫生院和社区卫生服务中心基本公共卫生服务，优化设置社区卫生服务站，提高基层医疗卫生机构服务能力。完善基本药物制度，扩大基本药物目录范围，保障药品供应和质量。</w:t>
      </w:r>
      <w:r>
        <w:rPr>
          <w:rFonts w:hint="eastAsia" w:ascii="仿宋_GB2312" w:hAnsi="仿宋_GB2312" w:eastAsia="仿宋_GB2312" w:cs="仿宋_GB2312"/>
          <w:bCs/>
          <w:sz w:val="32"/>
          <w:szCs w:val="32"/>
        </w:rPr>
        <w:t>提升妇幼健康服务能力，完善妇幼健康服务体系，保障母婴安全。加强中医药传承创新发展，推进基层医疗机构中医馆建设。适应老龄社会需要，推进老年病医院和医养结合机构建设，开展老年人健康体检、康复护理等服务，满足老年人健康需求。深化职业病防治攻坚，开展职业病防治“三项行动”。</w:t>
      </w:r>
      <w:r>
        <w:rPr>
          <w:rFonts w:hint="eastAsia" w:ascii="仿宋_GB2312" w:hAnsi="仿宋_GB2312" w:eastAsia="仿宋_GB2312" w:cs="仿宋_GB2312"/>
          <w:sz w:val="32"/>
          <w:szCs w:val="32"/>
        </w:rPr>
        <w:t>改善公立医院门诊医疗服务和住院护理服务，提高患者随访质量。加强医疗卫生人才</w:t>
      </w:r>
      <w:r>
        <w:rPr>
          <w:rFonts w:hint="eastAsia" w:ascii="仿宋_GB2312" w:hAnsi="宋体" w:eastAsia="仿宋_GB2312" w:cs="宋体"/>
          <w:sz w:val="32"/>
          <w:szCs w:val="32"/>
        </w:rPr>
        <w:t>一体化配备和管理，提高基层医疗卫生机构提供服务在医疗服务总量的占比。持续推进医疗、医保、医药联动改革，改善提升医疗服务、护理服务，建立医疗质量管理与控制体系，完善以结果为导向的服务质量数据系统评估、反馈和激励机制。</w:t>
      </w:r>
      <w:r>
        <w:rPr>
          <w:rFonts w:hint="eastAsia" w:ascii="仿宋_GB2312" w:hAnsi="仿宋_GB2312" w:eastAsia="仿宋_GB2312" w:cs="仿宋_GB2312"/>
          <w:bCs/>
          <w:sz w:val="32"/>
          <w:szCs w:val="32"/>
        </w:rPr>
        <w:t>改造提升医疗卫生设施。</w:t>
      </w:r>
      <w:r>
        <w:rPr>
          <w:rFonts w:hint="eastAsia" w:ascii="仿宋_GB2312" w:hAnsi="仿宋_GB2312" w:eastAsia="仿宋_GB2312" w:cs="仿宋_GB2312"/>
          <w:sz w:val="32"/>
          <w:szCs w:val="32"/>
        </w:rPr>
        <w:t>补齐医院病房环境与设施短板，购置新型医疗诊疗设备，提升医疗服务质量和群众就医体验。</w:t>
      </w:r>
    </w:p>
    <w:p>
      <w:pPr>
        <w:spacing w:line="576" w:lineRule="exact"/>
        <w:ind w:firstLine="642" w:firstLineChars="200"/>
        <w:rPr>
          <w:rFonts w:ascii="仿宋_GB2312" w:hAnsi="仿宋_GB2312" w:eastAsia="仿宋_GB2312" w:cs="仿宋_GB2312"/>
          <w:sz w:val="32"/>
          <w:szCs w:val="32"/>
        </w:rPr>
      </w:pPr>
      <w:r>
        <w:rPr>
          <w:rFonts w:hint="eastAsia" w:ascii="楷体_GB2312" w:hAnsi="楷体" w:eastAsia="楷体_GB2312"/>
          <w:b/>
          <w:sz w:val="32"/>
          <w:szCs w:val="32"/>
        </w:rPr>
        <w:t>增强重大疾病防控能力。</w:t>
      </w:r>
      <w:r>
        <w:rPr>
          <w:rFonts w:hint="eastAsia" w:ascii="仿宋_GB2312" w:hAnsi="仿宋_GB2312" w:eastAsia="仿宋_GB2312" w:cs="仿宋_GB2312"/>
          <w:sz w:val="32"/>
          <w:szCs w:val="32"/>
        </w:rPr>
        <w:t>加强传染病监测预警，完善新冠肺炎、鼠疫、艾滋病、结核病、肝炎、布病等重大传染病防治工作机制。继续实施扩大国家免疫规划，提高疫苗常规接种率和接种质量。做好非免疫规划疫苗的保障供应和接种工作。加强慢性非传染性疾病预防控制，推进心脑血管疾病、癌症、慢性呼吸系统疾病和糖尿病等重大慢性病的筛查和早期发现，开展慢性病高危人群的患病风险评估和干预指导，推动慢性病防治关口前移。完善地方病、职业病防治。</w:t>
      </w:r>
    </w:p>
    <w:p>
      <w:pPr>
        <w:spacing w:line="576" w:lineRule="exact"/>
        <w:ind w:firstLine="629" w:firstLineChars="196"/>
        <w:rPr>
          <w:rFonts w:ascii="仿宋_GB2312" w:hAnsi="仿宋_GB2312" w:eastAsia="仿宋_GB2312" w:cs="仿宋_GB2312"/>
          <w:sz w:val="32"/>
          <w:szCs w:val="32"/>
        </w:rPr>
      </w:pPr>
      <w:r>
        <w:rPr>
          <w:rFonts w:hint="eastAsia" w:ascii="楷体_GB2312" w:hAnsi="楷体_GB2312" w:eastAsia="楷体_GB2312" w:cs="楷体_GB2312"/>
          <w:b/>
          <w:bCs/>
          <w:sz w:val="32"/>
          <w:szCs w:val="32"/>
        </w:rPr>
        <w:t>全面深化医药卫生体制改革。</w:t>
      </w:r>
      <w:r>
        <w:rPr>
          <w:rFonts w:hint="eastAsia" w:ascii="仿宋_GB2312" w:hAnsi="仿宋_GB2312" w:eastAsia="仿宋_GB2312" w:cs="仿宋_GB2312"/>
          <w:sz w:val="32"/>
          <w:szCs w:val="32"/>
        </w:rPr>
        <w:t>持续推进医疗、医保、医药联动改革，推进公立医院综合改革，建立以公益性为导向，以健康产出和服务质量为主的绩效考核体系，增加分级诊疗相关指标的权重。推进卫生监督机构规范化建设，配齐执法装备和专业技术人员，建设信息化监管系统，增强执法效能。</w:t>
      </w:r>
    </w:p>
    <w:p>
      <w:pPr>
        <w:pStyle w:val="12"/>
        <w:spacing w:before="0" w:after="0" w:line="576" w:lineRule="exact"/>
        <w:outlineLvl w:val="9"/>
        <w:rPr>
          <w:rFonts w:ascii="黑体" w:hAnsi="黑体" w:eastAsia="黑体"/>
          <w:b w:val="0"/>
          <w:bCs w:val="0"/>
        </w:rPr>
      </w:pPr>
      <w:bookmarkStart w:id="164" w:name="_Toc29526_WPSOffice_Level2"/>
      <w:bookmarkStart w:id="165" w:name="_Toc7020_WPSOffice_Level2"/>
      <w:r>
        <w:rPr>
          <w:rFonts w:hint="eastAsia" w:ascii="黑体" w:hAnsi="黑体" w:eastAsia="黑体"/>
          <w:b w:val="0"/>
          <w:bCs w:val="0"/>
        </w:rPr>
        <w:t>第七节  加快体育事业发展</w:t>
      </w:r>
      <w:bookmarkEnd w:id="164"/>
      <w:bookmarkEnd w:id="165"/>
    </w:p>
    <w:p>
      <w:pPr>
        <w:spacing w:line="576" w:lineRule="exact"/>
        <w:ind w:firstLine="629" w:firstLineChars="196"/>
        <w:rPr>
          <w:rFonts w:ascii="仿宋_GB2312" w:hAnsi="仿宋_GB2312" w:eastAsia="仿宋_GB2312" w:cs="仿宋_GB2312"/>
          <w:sz w:val="32"/>
          <w:szCs w:val="32"/>
        </w:rPr>
      </w:pPr>
      <w:r>
        <w:rPr>
          <w:rFonts w:hint="eastAsia" w:ascii="楷体_GB2312" w:hAnsi="楷体" w:eastAsia="楷体_GB2312"/>
          <w:b/>
          <w:sz w:val="32"/>
          <w:szCs w:val="32"/>
        </w:rPr>
        <w:t>完善全民健身公共服务体系。</w:t>
      </w:r>
      <w:r>
        <w:rPr>
          <w:rFonts w:hint="eastAsia" w:ascii="仿宋_GB2312" w:hAnsi="仿宋_GB2312" w:eastAsia="仿宋_GB2312" w:cs="仿宋_GB2312"/>
          <w:sz w:val="32"/>
          <w:szCs w:val="32"/>
        </w:rPr>
        <w:t>深入实施全民健身国家战略，将全民健身公共服务纳入社区服务体系，完善乡镇社区全民健身公共服务网络。实施根河市社会公共标准运动场、根河市体育公园、根河市全民健身多功能体育馆和中国冷极户外营地建设等项目，推进公共体育场、社会足球场、乡镇全民健身中心建设，加强乡镇、街道健身场地器材配备，推进市区体育公园建设，构建多层级健身设施网络和城镇社区15分钟健身圈。加快健身场地全面开放共享，推动教体系统管理的训练中心、基地、体校、学校的健身设施以及运动康复等服务向社会开放。</w:t>
      </w:r>
    </w:p>
    <w:p>
      <w:pPr>
        <w:spacing w:line="576" w:lineRule="exact"/>
        <w:ind w:firstLine="642" w:firstLineChars="200"/>
      </w:pPr>
      <w:r>
        <w:rPr>
          <w:rFonts w:hint="eastAsia" w:ascii="楷体_GB2312" w:hAnsi="楷体" w:eastAsia="楷体_GB2312"/>
          <w:b/>
          <w:sz w:val="32"/>
          <w:szCs w:val="32"/>
        </w:rPr>
        <w:t>创新竞技体育发展模式。</w:t>
      </w:r>
      <w:r>
        <w:rPr>
          <w:rFonts w:hint="eastAsia" w:ascii="仿宋_GB2312" w:hAnsi="仿宋_GB2312" w:eastAsia="仿宋_GB2312" w:cs="仿宋_GB2312"/>
          <w:sz w:val="32"/>
          <w:szCs w:val="32"/>
        </w:rPr>
        <w:t>巩固扩大冰雪马拉松、乒乓球等优势项目，加快推动田径、羽毛球等潜力项目向优势项目转化，积极开展户外运动、电子竞技等新兴体育运动项目。加大集体球类项目发展力度，提升足球、篮球、排球、羽毛球、乒乓球等群众基础广泛项目的竞技水平，推进校园足球运动。加快构建冬季项目培训网络，发挥“教体结合”资源优势，建立“体校＋学校”一体化青训体系，推进场地设施建设、人才培养、产业发展、赛事训练，高水平承办呼伦贝尔市、全区、全国乃至国际赛事和冬夏令营活动，全力打造具有影响力的赛事品牌。</w:t>
      </w:r>
    </w:p>
    <w:p>
      <w:pPr>
        <w:pStyle w:val="12"/>
        <w:spacing w:before="0" w:after="0"/>
        <w:outlineLvl w:val="9"/>
        <w:rPr>
          <w:rFonts w:ascii="方正小标宋简体" w:hAnsi="黑体" w:eastAsia="方正小标宋简体"/>
          <w:b w:val="0"/>
          <w:sz w:val="36"/>
          <w:szCs w:val="36"/>
        </w:rPr>
      </w:pPr>
      <w:bookmarkStart w:id="166" w:name="_Toc31473_WPSOffice_Level1"/>
      <w:bookmarkStart w:id="167" w:name="_Toc12100_WPSOffice_Level1"/>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p>
    <w:p>
      <w:pPr>
        <w:pStyle w:val="12"/>
        <w:spacing w:before="0" w:after="0"/>
        <w:outlineLvl w:val="9"/>
        <w:rPr>
          <w:rFonts w:ascii="方正小标宋简体" w:hAnsi="黑体" w:eastAsia="方正小标宋简体"/>
          <w:b w:val="0"/>
          <w:sz w:val="36"/>
          <w:szCs w:val="36"/>
        </w:rPr>
      </w:pPr>
      <w:r>
        <w:rPr>
          <w:rFonts w:hint="eastAsia" w:ascii="方正小标宋简体" w:hAnsi="黑体" w:eastAsia="方正小标宋简体"/>
          <w:b w:val="0"/>
          <w:sz w:val="36"/>
          <w:szCs w:val="36"/>
        </w:rPr>
        <w:t>第十六章  健全规划实施机制 保障规划顺利实施</w:t>
      </w:r>
      <w:bookmarkEnd w:id="166"/>
      <w:bookmarkEnd w:id="167"/>
    </w:p>
    <w:p>
      <w:pPr>
        <w:spacing w:line="576" w:lineRule="exact"/>
        <w:ind w:firstLine="640" w:firstLineChars="200"/>
        <w:rPr>
          <w:rFonts w:ascii="仿宋_GB2312" w:eastAsia="仿宋_GB2312"/>
          <w:sz w:val="32"/>
          <w:szCs w:val="32"/>
        </w:rPr>
      </w:pPr>
    </w:p>
    <w:p>
      <w:pPr>
        <w:spacing w:line="576" w:lineRule="exact"/>
        <w:ind w:firstLine="640" w:firstLineChars="200"/>
        <w:rPr>
          <w:rFonts w:ascii="仿宋_GB2312" w:eastAsia="仿宋_GB2312"/>
          <w:sz w:val="32"/>
          <w:szCs w:val="32"/>
        </w:rPr>
      </w:pPr>
      <w:r>
        <w:rPr>
          <w:rFonts w:hint="eastAsia" w:ascii="仿宋_GB2312" w:eastAsia="仿宋_GB2312"/>
          <w:sz w:val="32"/>
          <w:szCs w:val="32"/>
        </w:rPr>
        <w:t>坚持党的全面领导，加强组织协调，健全工作机制。强化政府主体责任，优化资源配置，增强政策协同，形成推动规划实施的强大合力。</w:t>
      </w:r>
    </w:p>
    <w:p>
      <w:pPr>
        <w:pStyle w:val="12"/>
        <w:spacing w:before="0" w:after="0" w:line="576" w:lineRule="exact"/>
        <w:outlineLvl w:val="9"/>
        <w:rPr>
          <w:rFonts w:ascii="黑体" w:hAnsi="黑体" w:eastAsia="黑体"/>
          <w:b w:val="0"/>
          <w:bCs w:val="0"/>
        </w:rPr>
      </w:pPr>
      <w:bookmarkStart w:id="168" w:name="_Toc6187_WPSOffice_Level2"/>
      <w:bookmarkStart w:id="169" w:name="_Toc10799_WPSOffice_Level2"/>
      <w:r>
        <w:rPr>
          <w:rFonts w:hint="eastAsia" w:ascii="黑体" w:hAnsi="黑体" w:eastAsia="黑体"/>
          <w:b w:val="0"/>
          <w:bCs w:val="0"/>
        </w:rPr>
        <w:t>第一节  全面加强党的领导</w:t>
      </w:r>
      <w:bookmarkEnd w:id="168"/>
      <w:bookmarkEnd w:id="169"/>
    </w:p>
    <w:p>
      <w:pPr>
        <w:spacing w:line="576" w:lineRule="exact"/>
        <w:ind w:firstLine="640" w:firstLineChars="200"/>
        <w:rPr>
          <w:rFonts w:ascii="仿宋_GB2312" w:eastAsia="仿宋_GB2312"/>
          <w:sz w:val="32"/>
          <w:szCs w:val="32"/>
        </w:rPr>
      </w:pPr>
      <w:r>
        <w:rPr>
          <w:rFonts w:hint="eastAsia" w:ascii="仿宋_GB2312" w:eastAsia="仿宋_GB2312"/>
          <w:sz w:val="32"/>
          <w:szCs w:val="32"/>
        </w:rPr>
        <w:t>坚决维护党中央权威和集中统一领导。贯彻党把方向、谋大局、定政策、促改革的要求，推动各级党组织和广大党员深入贯彻落实习近平新时代中国特色社会主义思想和习近平总书记对内蒙古重要讲话重要指示批示精神，始终在思想上政治上行动上同以习近平同志为核心的中共中央保持高度一致，切实增强“四个意识”、坚定“四个自信”、做到“两个维护”。严格落实“第一议题”等制度，健全以学铸魂、以学增智、以学正风、以学促干长效机制。</w:t>
      </w:r>
      <w:r>
        <w:rPr>
          <w:rFonts w:hint="eastAsia" w:ascii="仿宋_GB2312" w:hAnsi="仿宋_GB2312" w:eastAsia="仿宋_GB2312" w:cs="仿宋_GB2312"/>
          <w:sz w:val="32"/>
          <w:szCs w:val="32"/>
        </w:rPr>
        <w:t>健全贯彻落实习近平总书记重要指示精神和党中央决策部署全链条、闭环式工作机制。</w:t>
      </w:r>
      <w:r>
        <w:rPr>
          <w:rFonts w:hint="eastAsia" w:ascii="仿宋_GB2312" w:eastAsia="仿宋_GB2312"/>
          <w:sz w:val="32"/>
          <w:szCs w:val="32"/>
        </w:rPr>
        <w:t>严明政治纪律和政治规矩，严格执行重大事项请示报告制度。全面推进各级各类巡视、巡察、督查、检查、审计反馈问题整改落实。全面加强干部队伍建设，强化教育培训和实践历练，增强推进现代化建设本领。推进作风建设常态化长效化，锲而不舍贯彻中央八项规定精神，持续为基层松绑减负。深入贯彻“两个零容忍”重要要求，一体推进不敢腐、不能腐、不想腐，净化政治生态，优化发展环境。</w:t>
      </w:r>
    </w:p>
    <w:p>
      <w:pPr>
        <w:pStyle w:val="12"/>
        <w:spacing w:before="0" w:after="0" w:line="576" w:lineRule="exact"/>
        <w:ind w:firstLine="640" w:firstLineChars="200"/>
        <w:jc w:val="both"/>
        <w:outlineLvl w:val="9"/>
        <w:rPr>
          <w:rFonts w:ascii="黑体" w:hAnsi="黑体" w:eastAsia="黑体"/>
          <w:b w:val="0"/>
          <w:bCs w:val="0"/>
        </w:rPr>
      </w:pPr>
      <w:bookmarkStart w:id="170" w:name="_Toc22397_WPSOffice_Level2"/>
      <w:bookmarkStart w:id="171" w:name="_Toc10194_WPSOffice_Level2"/>
    </w:p>
    <w:p>
      <w:pPr>
        <w:pStyle w:val="12"/>
        <w:spacing w:before="0" w:after="0" w:line="576" w:lineRule="exact"/>
        <w:outlineLvl w:val="9"/>
        <w:rPr>
          <w:rFonts w:ascii="黑体" w:hAnsi="黑体" w:eastAsia="黑体"/>
          <w:b w:val="0"/>
          <w:bCs w:val="0"/>
        </w:rPr>
      </w:pPr>
      <w:r>
        <w:rPr>
          <w:rFonts w:hint="eastAsia" w:ascii="黑体" w:hAnsi="黑体" w:eastAsia="黑体"/>
          <w:b w:val="0"/>
          <w:bCs w:val="0"/>
        </w:rPr>
        <w:t xml:space="preserve">第二节 </w:t>
      </w:r>
      <w:bookmarkEnd w:id="170"/>
      <w:r>
        <w:rPr>
          <w:rFonts w:hint="eastAsia" w:ascii="黑体" w:hAnsi="黑体" w:eastAsia="黑体"/>
          <w:b w:val="0"/>
          <w:bCs w:val="0"/>
        </w:rPr>
        <w:t xml:space="preserve"> 落实规划实施责任</w:t>
      </w:r>
      <w:bookmarkEnd w:id="171"/>
    </w:p>
    <w:p>
      <w:pPr>
        <w:spacing w:line="576" w:lineRule="exact"/>
        <w:ind w:firstLine="640" w:firstLineChars="200"/>
        <w:rPr>
          <w:rFonts w:ascii="仿宋_GB2312" w:eastAsia="仿宋_GB2312"/>
          <w:sz w:val="32"/>
          <w:szCs w:val="32"/>
        </w:rPr>
      </w:pPr>
      <w:r>
        <w:rPr>
          <w:rFonts w:hint="eastAsia" w:ascii="仿宋_GB2312" w:eastAsia="仿宋_GB2312"/>
          <w:sz w:val="32"/>
          <w:szCs w:val="32"/>
        </w:rPr>
        <w:t>本规划是指导全市“十五五”时期经济社会发展的纲领性文件，是政府履行经济调节、市场监管、社会管理、公共服务、生态环境保护职能的重要依据。各部门要根据本规划确定的各领域目标任务，制定落实举措，确定年度计划，全程推动、追踪问效、一抓到底。本规划确定的约束性指标、重大项目和公共服务、生态环保、安全保障等领域任务，要合理配置公共资源，引导调控社会资源，确保如期完成。本规划提出的预期性目标和产业发展、结构调整等领域任务，主要依靠发挥经营主体作用实现，要创造良好的政策环境、体制环境和法治环境。通过制定年度计划，落实“十五五”期间发展目标和重点任务。年度计划要贯彻本规划提出的发展目标和重点任务，将本规划确定的主要指标分解纳入年度计划指标体系，合理设置年度目标，确定年度工作重点。</w:t>
      </w:r>
    </w:p>
    <w:p>
      <w:pPr>
        <w:pStyle w:val="12"/>
        <w:spacing w:before="0" w:after="0" w:line="576" w:lineRule="exact"/>
        <w:outlineLvl w:val="9"/>
        <w:rPr>
          <w:rFonts w:ascii="黑体" w:hAnsi="黑体" w:eastAsia="黑体"/>
          <w:b w:val="0"/>
          <w:bCs w:val="0"/>
        </w:rPr>
      </w:pPr>
      <w:bookmarkStart w:id="172" w:name="_Toc2395_WPSOffice_Level2"/>
      <w:bookmarkStart w:id="173" w:name="_Toc5199_WPSOffice_Level2"/>
      <w:r>
        <w:rPr>
          <w:rFonts w:hint="eastAsia" w:ascii="黑体" w:hAnsi="黑体" w:eastAsia="黑体"/>
          <w:b w:val="0"/>
          <w:bCs w:val="0"/>
        </w:rPr>
        <w:t>第三节  强化政策协同保障</w:t>
      </w:r>
      <w:bookmarkEnd w:id="172"/>
      <w:bookmarkEnd w:id="173"/>
    </w:p>
    <w:p>
      <w:pPr>
        <w:spacing w:line="576" w:lineRule="exact"/>
        <w:ind w:firstLine="645"/>
        <w:rPr>
          <w:rFonts w:ascii="仿宋_GB2312" w:eastAsia="仿宋_GB2312"/>
          <w:sz w:val="32"/>
          <w:szCs w:val="32"/>
        </w:rPr>
      </w:pPr>
      <w:r>
        <w:rPr>
          <w:rFonts w:hint="eastAsia" w:ascii="仿宋_GB2312" w:eastAsia="仿宋_GB2312"/>
          <w:sz w:val="32"/>
          <w:szCs w:val="32"/>
        </w:rPr>
        <w:t>坚持规划定方向、财政作保障、金融为支持、其他政策相协调，着力构建规划与各类政策协调联动机制。优化财政支出结构和政府投资结构，重点向社会民生、公共服务、生态环保等领域倾斜，积极争取上级资金支持。坚持项目跟着规划走、资金和要素跟着项目走，积极推进本规划提出的项目，在规划选址、土地供应和资金需求等方面给予保障。</w:t>
      </w:r>
    </w:p>
    <w:p>
      <w:pPr>
        <w:pStyle w:val="12"/>
        <w:spacing w:before="0" w:after="0" w:line="576" w:lineRule="exact"/>
        <w:outlineLvl w:val="9"/>
        <w:rPr>
          <w:rFonts w:ascii="黑体" w:hAnsi="黑体" w:eastAsia="黑体"/>
          <w:b w:val="0"/>
          <w:bCs w:val="0"/>
        </w:rPr>
      </w:pPr>
      <w:bookmarkStart w:id="174" w:name="_Toc21110_WPSOffice_Level2"/>
      <w:r>
        <w:rPr>
          <w:rFonts w:hint="eastAsia" w:ascii="黑体" w:hAnsi="黑体" w:eastAsia="黑体"/>
          <w:b w:val="0"/>
          <w:bCs w:val="0"/>
        </w:rPr>
        <w:t>第四节  加强规划实施监测评估</w:t>
      </w:r>
      <w:bookmarkEnd w:id="174"/>
    </w:p>
    <w:p>
      <w:pPr>
        <w:spacing w:line="576" w:lineRule="exact"/>
        <w:ind w:firstLine="645"/>
        <w:rPr>
          <w:rFonts w:ascii="仿宋_GB2312" w:eastAsia="仿宋_GB2312"/>
          <w:sz w:val="32"/>
          <w:szCs w:val="32"/>
        </w:rPr>
      </w:pPr>
      <w:r>
        <w:rPr>
          <w:rFonts w:hint="eastAsia" w:ascii="仿宋_GB2312" w:eastAsia="仿宋_GB2312"/>
          <w:sz w:val="32"/>
          <w:szCs w:val="32"/>
        </w:rPr>
        <w:t>开展规划实施情况动态监测、中期评估和总结评估，向根河市人民代表大会常务委员会报告规划实施情况，自觉接受人大监督。把监测评估结果作为改进工作的重要依据，完善规划实施公众参与和社会监督机制，形成全社会关心规划、自觉参与和监督规划实施的良好氛围，共同推动规划目标任务如期完成。</w:t>
      </w:r>
    </w:p>
    <w:p>
      <w:pPr>
        <w:spacing w:line="576" w:lineRule="exact"/>
        <w:ind w:firstLine="640" w:firstLineChars="200"/>
        <w:rPr>
          <w:rFonts w:ascii="仿宋_GB2312" w:eastAsia="仿宋_GB2312"/>
          <w:sz w:val="32"/>
          <w:szCs w:val="32"/>
        </w:rPr>
      </w:pPr>
      <w:r>
        <w:rPr>
          <w:rFonts w:hint="eastAsia" w:ascii="仿宋_GB2312" w:eastAsia="仿宋_GB2312"/>
          <w:sz w:val="32"/>
          <w:szCs w:val="32"/>
        </w:rPr>
        <w:t>根河市国民经济和社会发展第十五个五年规划纲要是基本实现社会主义现代化夯实基础、全面发力关键期的行动纲领。全市各级党组织和广大党员、干部、群众要更加紧密地团结在以习近平同志为核心的党中央周围，再接再厉、顺势而为、乘胜前进，为同全国一道基本实现社会主义现代化而共同奋斗，为书写中国式现代化内蒙古新篇章作出根河新贡献。</w:t>
      </w:r>
      <w:bookmarkEnd w:id="135"/>
    </w:p>
    <w:sectPr>
      <w:footerReference r:id="rId5" w:type="default"/>
      <w:footerReference r:id="rId6" w:type="even"/>
      <w:pgSz w:w="11906" w:h="16838"/>
      <w:pgMar w:top="1440" w:right="1800" w:bottom="1440" w:left="1800" w:header="851" w:footer="794" w:gutter="0"/>
      <w:pgNumType w:fmt="numberInDash"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mbria">
    <w:altName w:val="FreeSerif"/>
    <w:panose1 w:val="02040503050406030204"/>
    <w:charset w:val="00"/>
    <w:family w:val="roman"/>
    <w:pitch w:val="default"/>
    <w:sig w:usb0="00000000" w:usb1="00000000" w:usb2="00000000" w:usb3="00000000" w:csb0="0000019F" w:csb1="00000000"/>
  </w:font>
  <w:font w:name="AdobeSongStd-Light">
    <w:altName w:val="仿宋"/>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MS Mincho">
    <w:altName w:val="Droid Sans Japanese"/>
    <w:panose1 w:val="02020609040205080304"/>
    <w:charset w:val="80"/>
    <w:family w:val="modern"/>
    <w:pitch w:val="default"/>
    <w:sig w:usb0="00000000" w:usb1="00000000" w:usb2="00000012" w:usb3="00000000" w:csb0="0002009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Liberation Serif">
    <w:panose1 w:val="02020603050405020304"/>
    <w:charset w:val="00"/>
    <w:family w:val="auto"/>
    <w:pitch w:val="default"/>
    <w:sig w:usb0="A00002AF" w:usb1="500078FB" w:usb2="00000000" w:usb3="00000000" w:csb0="6000009F" w:csb1="DFD70000"/>
  </w:font>
  <w:font w:name="FreeSerif">
    <w:panose1 w:val="02020603050405020304"/>
    <w:charset w:val="00"/>
    <w:family w:val="auto"/>
    <w:pitch w:val="default"/>
    <w:sig w:usb0="E59FAFFF" w:usb1="C200FDFF" w:usb2="43501B29" w:usb3="04000043" w:csb0="600101FF" w:csb1="FFFF0000"/>
  </w:font>
  <w:font w:name="仿宋">
    <w:panose1 w:val="02010609060101010101"/>
    <w:charset w:val="86"/>
    <w:family w:val="auto"/>
    <w:pitch w:val="default"/>
    <w:sig w:usb0="800002BF" w:usb1="38CF7CFA" w:usb2="00000016" w:usb3="00000000" w:csb0="00040001" w:csb1="00000000"/>
  </w:font>
  <w:font w:name="方正宋体S-超大字符集">
    <w:panose1 w:val="02000000000000000000"/>
    <w:charset w:val="86"/>
    <w:family w:val="auto"/>
    <w:pitch w:val="default"/>
    <w:sig w:usb0="00000001" w:usb1="08000000" w:usb2="00000000" w:usb3="00000000" w:csb0="00040000" w:csb1="00000000"/>
  </w:font>
  <w:font w:name="Droid Sans Japanese">
    <w:panose1 w:val="020B0502000000000001"/>
    <w:charset w:val="00"/>
    <w:family w:val="auto"/>
    <w:pitch w:val="default"/>
    <w:sig w:usb0="80000000" w:usb1="08070000" w:usb2="0000001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42414373"/>
    </w:sdtPr>
    <w:sdtEndPr>
      <w:rPr>
        <w:rFonts w:asciiTheme="minorEastAsia" w:hAnsiTheme="minorEastAsia" w:eastAsiaTheme="minorEastAsia"/>
        <w:sz w:val="30"/>
        <w:szCs w:val="30"/>
      </w:rPr>
    </w:sdtEndPr>
    <w:sdtContent>
      <w:p>
        <w:pPr>
          <w:pStyle w:val="7"/>
          <w:jc w:val="right"/>
          <w:rPr>
            <w:rFonts w:asciiTheme="minorEastAsia" w:hAnsiTheme="minorEastAsia" w:eastAsiaTheme="minorEastAsia"/>
            <w:sz w:val="30"/>
            <w:szCs w:val="30"/>
          </w:rPr>
        </w:pPr>
        <w:r>
          <w:rPr>
            <w:rFonts w:asciiTheme="minorEastAsia" w:hAnsiTheme="minorEastAsia" w:eastAsiaTheme="minorEastAsia"/>
            <w:sz w:val="30"/>
            <w:szCs w:val="30"/>
          </w:rPr>
          <w:fldChar w:fldCharType="begin"/>
        </w:r>
        <w:r>
          <w:rPr>
            <w:rFonts w:asciiTheme="minorEastAsia" w:hAnsiTheme="minorEastAsia" w:eastAsiaTheme="minorEastAsia"/>
            <w:sz w:val="30"/>
            <w:szCs w:val="30"/>
          </w:rPr>
          <w:instrText xml:space="preserve">PAGE   \* MERGEFORMAT</w:instrText>
        </w:r>
        <w:r>
          <w:rPr>
            <w:rFonts w:asciiTheme="minorEastAsia" w:hAnsiTheme="minorEastAsia" w:eastAsiaTheme="minorEastAsia"/>
            <w:sz w:val="30"/>
            <w:szCs w:val="30"/>
          </w:rPr>
          <w:fldChar w:fldCharType="separate"/>
        </w:r>
        <w:r>
          <w:rPr>
            <w:rFonts w:asciiTheme="minorEastAsia" w:hAnsiTheme="minorEastAsia" w:eastAsiaTheme="minorEastAsia"/>
            <w:sz w:val="30"/>
            <w:szCs w:val="30"/>
            <w:lang w:val="zh-CN"/>
          </w:rPr>
          <w:t>I</w:t>
        </w:r>
        <w:r>
          <w:rPr>
            <w:rFonts w:asciiTheme="minorEastAsia" w:hAnsiTheme="minorEastAsia" w:eastAsiaTheme="minorEastAsia"/>
            <w:sz w:val="30"/>
            <w:szCs w:val="30"/>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Theme="minorEastAsia" w:hAnsiTheme="minorEastAsia" w:eastAsiaTheme="minorEastAsia"/>
        <w:sz w:val="30"/>
        <w:szCs w:val="30"/>
      </w:rPr>
    </w:pPr>
    <w:r>
      <w:rPr>
        <w:rFonts w:asciiTheme="minorEastAsia" w:hAnsiTheme="minorEastAsia" w:eastAsiaTheme="minorEastAsia"/>
        <w:sz w:val="30"/>
        <w:szCs w:val="30"/>
      </w:rPr>
      <w:fldChar w:fldCharType="begin"/>
    </w:r>
    <w:r>
      <w:rPr>
        <w:rFonts w:asciiTheme="minorEastAsia" w:hAnsiTheme="minorEastAsia" w:eastAsiaTheme="minorEastAsia"/>
        <w:sz w:val="30"/>
        <w:szCs w:val="30"/>
      </w:rPr>
      <w:instrText xml:space="preserve">PAGE   \* MERGEFORMAT</w:instrText>
    </w:r>
    <w:r>
      <w:rPr>
        <w:rFonts w:asciiTheme="minorEastAsia" w:hAnsiTheme="minorEastAsia" w:eastAsiaTheme="minorEastAsia"/>
        <w:sz w:val="30"/>
        <w:szCs w:val="30"/>
      </w:rPr>
      <w:fldChar w:fldCharType="separate"/>
    </w:r>
    <w:r>
      <w:rPr>
        <w:rFonts w:asciiTheme="minorEastAsia" w:hAnsiTheme="minorEastAsia" w:eastAsiaTheme="minorEastAsia"/>
        <w:sz w:val="30"/>
        <w:szCs w:val="30"/>
        <w:lang w:val="zh-CN"/>
      </w:rPr>
      <w:t>-</w:t>
    </w:r>
    <w:r>
      <w:rPr>
        <w:rFonts w:asciiTheme="minorEastAsia" w:hAnsiTheme="minorEastAsia" w:eastAsiaTheme="minorEastAsia"/>
        <w:sz w:val="30"/>
        <w:szCs w:val="30"/>
      </w:rPr>
      <w:t xml:space="preserve"> 77 -</w:t>
    </w:r>
    <w:r>
      <w:rPr>
        <w:rFonts w:asciiTheme="minorEastAsia" w:hAnsiTheme="minorEastAsia" w:eastAsiaTheme="minorEastAsia"/>
        <w:sz w:val="30"/>
        <w:szCs w:val="30"/>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asciiTheme="minorEastAsia" w:hAnsiTheme="minorEastAsia" w:eastAsiaTheme="minorEastAsia"/>
        <w:sz w:val="30"/>
        <w:szCs w:val="30"/>
      </w:rPr>
    </w:pPr>
    <w:r>
      <w:rPr>
        <w:rFonts w:asciiTheme="minorEastAsia" w:hAnsiTheme="minorEastAsia" w:eastAsiaTheme="minorEastAsia"/>
        <w:sz w:val="30"/>
        <w:szCs w:val="30"/>
      </w:rPr>
      <w:fldChar w:fldCharType="begin"/>
    </w:r>
    <w:r>
      <w:rPr>
        <w:rFonts w:asciiTheme="minorEastAsia" w:hAnsiTheme="minorEastAsia" w:eastAsiaTheme="minorEastAsia"/>
        <w:sz w:val="30"/>
        <w:szCs w:val="30"/>
      </w:rPr>
      <w:instrText xml:space="preserve">PAGE   \* MERGEFORMAT</w:instrText>
    </w:r>
    <w:r>
      <w:rPr>
        <w:rFonts w:asciiTheme="minorEastAsia" w:hAnsiTheme="minorEastAsia" w:eastAsiaTheme="minorEastAsia"/>
        <w:sz w:val="30"/>
        <w:szCs w:val="30"/>
      </w:rPr>
      <w:fldChar w:fldCharType="separate"/>
    </w:r>
    <w:r>
      <w:rPr>
        <w:rFonts w:asciiTheme="minorEastAsia" w:hAnsiTheme="minorEastAsia" w:eastAsiaTheme="minorEastAsia"/>
        <w:sz w:val="30"/>
        <w:szCs w:val="30"/>
        <w:lang w:val="zh-CN"/>
      </w:rPr>
      <w:t>-</w:t>
    </w:r>
    <w:r>
      <w:rPr>
        <w:rFonts w:asciiTheme="minorEastAsia" w:hAnsiTheme="minorEastAsia" w:eastAsiaTheme="minorEastAsia"/>
        <w:sz w:val="30"/>
        <w:szCs w:val="30"/>
      </w:rPr>
      <w:t xml:space="preserve"> 78 -</w:t>
    </w:r>
    <w:r>
      <w:rPr>
        <w:rFonts w:asciiTheme="minorEastAsia" w:hAnsiTheme="minorEastAsia" w:eastAsiaTheme="minorEastAsia"/>
        <w:sz w:val="30"/>
        <w:szCs w:val="30"/>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8EF3F2F"/>
    <w:multiLevelType w:val="singleLevel"/>
    <w:tmpl w:val="C8EF3F2F"/>
    <w:lvl w:ilvl="0" w:tentative="0">
      <w:start w:val="8"/>
      <w:numFmt w:val="chineseCounting"/>
      <w:suff w:val="space"/>
      <w:lvlText w:val="第%1章"/>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evenAndOddHeaders w:val="1"/>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286"/>
    <w:rsid w:val="0000073B"/>
    <w:rsid w:val="00002B43"/>
    <w:rsid w:val="00003BC7"/>
    <w:rsid w:val="00004CDE"/>
    <w:rsid w:val="00005002"/>
    <w:rsid w:val="0000708C"/>
    <w:rsid w:val="00007B73"/>
    <w:rsid w:val="000100C1"/>
    <w:rsid w:val="000101BE"/>
    <w:rsid w:val="00010500"/>
    <w:rsid w:val="0001135C"/>
    <w:rsid w:val="00011556"/>
    <w:rsid w:val="00012DF1"/>
    <w:rsid w:val="00012EDB"/>
    <w:rsid w:val="00013A61"/>
    <w:rsid w:val="0001409E"/>
    <w:rsid w:val="000142D2"/>
    <w:rsid w:val="00014551"/>
    <w:rsid w:val="000155B1"/>
    <w:rsid w:val="00015683"/>
    <w:rsid w:val="00015DA6"/>
    <w:rsid w:val="00016304"/>
    <w:rsid w:val="00016E85"/>
    <w:rsid w:val="000170BD"/>
    <w:rsid w:val="0001772C"/>
    <w:rsid w:val="00020099"/>
    <w:rsid w:val="00020AB5"/>
    <w:rsid w:val="00020B39"/>
    <w:rsid w:val="0002108F"/>
    <w:rsid w:val="00021547"/>
    <w:rsid w:val="00021D25"/>
    <w:rsid w:val="000221F6"/>
    <w:rsid w:val="00022622"/>
    <w:rsid w:val="00022673"/>
    <w:rsid w:val="0002387B"/>
    <w:rsid w:val="00023F13"/>
    <w:rsid w:val="000247E6"/>
    <w:rsid w:val="0002569B"/>
    <w:rsid w:val="000257A2"/>
    <w:rsid w:val="00025A35"/>
    <w:rsid w:val="000271DA"/>
    <w:rsid w:val="000314A1"/>
    <w:rsid w:val="0003229C"/>
    <w:rsid w:val="00032B04"/>
    <w:rsid w:val="00032BA3"/>
    <w:rsid w:val="00032EE7"/>
    <w:rsid w:val="00033FC7"/>
    <w:rsid w:val="00035060"/>
    <w:rsid w:val="00036445"/>
    <w:rsid w:val="00036B40"/>
    <w:rsid w:val="00036FA1"/>
    <w:rsid w:val="00040032"/>
    <w:rsid w:val="00040093"/>
    <w:rsid w:val="0004015F"/>
    <w:rsid w:val="00041421"/>
    <w:rsid w:val="00041617"/>
    <w:rsid w:val="00042B32"/>
    <w:rsid w:val="00042D1C"/>
    <w:rsid w:val="000440C7"/>
    <w:rsid w:val="000452B0"/>
    <w:rsid w:val="00046E0C"/>
    <w:rsid w:val="00047C02"/>
    <w:rsid w:val="00051E78"/>
    <w:rsid w:val="00052B3C"/>
    <w:rsid w:val="000530F2"/>
    <w:rsid w:val="000538B1"/>
    <w:rsid w:val="00053E5D"/>
    <w:rsid w:val="000544AD"/>
    <w:rsid w:val="00055E80"/>
    <w:rsid w:val="00056655"/>
    <w:rsid w:val="0005676D"/>
    <w:rsid w:val="0005692E"/>
    <w:rsid w:val="0006000D"/>
    <w:rsid w:val="00060176"/>
    <w:rsid w:val="00060874"/>
    <w:rsid w:val="00060C3A"/>
    <w:rsid w:val="00061656"/>
    <w:rsid w:val="00061CB9"/>
    <w:rsid w:val="00061D44"/>
    <w:rsid w:val="000625A2"/>
    <w:rsid w:val="00062CE3"/>
    <w:rsid w:val="00063624"/>
    <w:rsid w:val="00063660"/>
    <w:rsid w:val="0006414E"/>
    <w:rsid w:val="000641E9"/>
    <w:rsid w:val="000644A6"/>
    <w:rsid w:val="0006471A"/>
    <w:rsid w:val="0006476C"/>
    <w:rsid w:val="00065A4D"/>
    <w:rsid w:val="00066CB6"/>
    <w:rsid w:val="00066E75"/>
    <w:rsid w:val="00067586"/>
    <w:rsid w:val="00071472"/>
    <w:rsid w:val="00073485"/>
    <w:rsid w:val="00073D84"/>
    <w:rsid w:val="00075F62"/>
    <w:rsid w:val="00076821"/>
    <w:rsid w:val="00077193"/>
    <w:rsid w:val="00077E68"/>
    <w:rsid w:val="0008023D"/>
    <w:rsid w:val="0008216A"/>
    <w:rsid w:val="00082B03"/>
    <w:rsid w:val="00083F6C"/>
    <w:rsid w:val="000844AA"/>
    <w:rsid w:val="00084694"/>
    <w:rsid w:val="000850C4"/>
    <w:rsid w:val="000851D3"/>
    <w:rsid w:val="000851E5"/>
    <w:rsid w:val="000860E8"/>
    <w:rsid w:val="00086C6B"/>
    <w:rsid w:val="000872E7"/>
    <w:rsid w:val="000876D1"/>
    <w:rsid w:val="000878BA"/>
    <w:rsid w:val="0009015D"/>
    <w:rsid w:val="000904C0"/>
    <w:rsid w:val="00091AF4"/>
    <w:rsid w:val="000928CF"/>
    <w:rsid w:val="00092A89"/>
    <w:rsid w:val="000933ED"/>
    <w:rsid w:val="00093AE0"/>
    <w:rsid w:val="00093C7C"/>
    <w:rsid w:val="00094518"/>
    <w:rsid w:val="00094E6D"/>
    <w:rsid w:val="00095535"/>
    <w:rsid w:val="0009611F"/>
    <w:rsid w:val="000970B5"/>
    <w:rsid w:val="00097B40"/>
    <w:rsid w:val="000A0BA2"/>
    <w:rsid w:val="000A13C6"/>
    <w:rsid w:val="000A1914"/>
    <w:rsid w:val="000A19CF"/>
    <w:rsid w:val="000A2673"/>
    <w:rsid w:val="000A31E6"/>
    <w:rsid w:val="000A3803"/>
    <w:rsid w:val="000A3A3E"/>
    <w:rsid w:val="000A3C3E"/>
    <w:rsid w:val="000A7B7A"/>
    <w:rsid w:val="000B0042"/>
    <w:rsid w:val="000B0266"/>
    <w:rsid w:val="000B04D3"/>
    <w:rsid w:val="000B08E9"/>
    <w:rsid w:val="000B0E63"/>
    <w:rsid w:val="000B1737"/>
    <w:rsid w:val="000B1C51"/>
    <w:rsid w:val="000B210E"/>
    <w:rsid w:val="000B274C"/>
    <w:rsid w:val="000B28D6"/>
    <w:rsid w:val="000B31FC"/>
    <w:rsid w:val="000B389D"/>
    <w:rsid w:val="000B3F0E"/>
    <w:rsid w:val="000B47D3"/>
    <w:rsid w:val="000B47EE"/>
    <w:rsid w:val="000B490A"/>
    <w:rsid w:val="000B5098"/>
    <w:rsid w:val="000B55A1"/>
    <w:rsid w:val="000B57D7"/>
    <w:rsid w:val="000B64FC"/>
    <w:rsid w:val="000B650A"/>
    <w:rsid w:val="000B66F3"/>
    <w:rsid w:val="000B69E6"/>
    <w:rsid w:val="000B7319"/>
    <w:rsid w:val="000B752C"/>
    <w:rsid w:val="000B7A35"/>
    <w:rsid w:val="000B7D4E"/>
    <w:rsid w:val="000C04F1"/>
    <w:rsid w:val="000C0819"/>
    <w:rsid w:val="000C09C2"/>
    <w:rsid w:val="000C0A8F"/>
    <w:rsid w:val="000C0BFC"/>
    <w:rsid w:val="000C0EFF"/>
    <w:rsid w:val="000C1772"/>
    <w:rsid w:val="000C2B80"/>
    <w:rsid w:val="000C4422"/>
    <w:rsid w:val="000C44BC"/>
    <w:rsid w:val="000C468E"/>
    <w:rsid w:val="000C524D"/>
    <w:rsid w:val="000C6172"/>
    <w:rsid w:val="000C635E"/>
    <w:rsid w:val="000C6BF9"/>
    <w:rsid w:val="000C74A2"/>
    <w:rsid w:val="000C7945"/>
    <w:rsid w:val="000D0664"/>
    <w:rsid w:val="000D0D22"/>
    <w:rsid w:val="000D17CF"/>
    <w:rsid w:val="000D2942"/>
    <w:rsid w:val="000D5123"/>
    <w:rsid w:val="000D5203"/>
    <w:rsid w:val="000E084A"/>
    <w:rsid w:val="000E197F"/>
    <w:rsid w:val="000E1997"/>
    <w:rsid w:val="000E3BE0"/>
    <w:rsid w:val="000E4424"/>
    <w:rsid w:val="000E4F0B"/>
    <w:rsid w:val="000E4F68"/>
    <w:rsid w:val="000E52CF"/>
    <w:rsid w:val="000E65D0"/>
    <w:rsid w:val="000E66E6"/>
    <w:rsid w:val="000E6D7E"/>
    <w:rsid w:val="000E6E0E"/>
    <w:rsid w:val="000E783D"/>
    <w:rsid w:val="000E7A92"/>
    <w:rsid w:val="000F0026"/>
    <w:rsid w:val="000F0200"/>
    <w:rsid w:val="000F0355"/>
    <w:rsid w:val="000F1077"/>
    <w:rsid w:val="000F33BE"/>
    <w:rsid w:val="000F33DA"/>
    <w:rsid w:val="000F4A89"/>
    <w:rsid w:val="000F504E"/>
    <w:rsid w:val="000F696E"/>
    <w:rsid w:val="000F6D05"/>
    <w:rsid w:val="000F6E70"/>
    <w:rsid w:val="000F719D"/>
    <w:rsid w:val="000F7FBD"/>
    <w:rsid w:val="00100BD2"/>
    <w:rsid w:val="00100E1D"/>
    <w:rsid w:val="001017C9"/>
    <w:rsid w:val="00103225"/>
    <w:rsid w:val="001036B0"/>
    <w:rsid w:val="00103E57"/>
    <w:rsid w:val="00106983"/>
    <w:rsid w:val="00107E00"/>
    <w:rsid w:val="00110179"/>
    <w:rsid w:val="00110CF9"/>
    <w:rsid w:val="001110A5"/>
    <w:rsid w:val="0011251F"/>
    <w:rsid w:val="00114833"/>
    <w:rsid w:val="0011501A"/>
    <w:rsid w:val="00115224"/>
    <w:rsid w:val="001168E4"/>
    <w:rsid w:val="00116C88"/>
    <w:rsid w:val="0011783A"/>
    <w:rsid w:val="00120B26"/>
    <w:rsid w:val="0012110A"/>
    <w:rsid w:val="00121C40"/>
    <w:rsid w:val="00121E2A"/>
    <w:rsid w:val="001223D1"/>
    <w:rsid w:val="001232AB"/>
    <w:rsid w:val="001243CD"/>
    <w:rsid w:val="001244B1"/>
    <w:rsid w:val="00124B24"/>
    <w:rsid w:val="00125336"/>
    <w:rsid w:val="00125337"/>
    <w:rsid w:val="00125913"/>
    <w:rsid w:val="00127D32"/>
    <w:rsid w:val="0013062D"/>
    <w:rsid w:val="00130770"/>
    <w:rsid w:val="00132B95"/>
    <w:rsid w:val="001331C5"/>
    <w:rsid w:val="00133A8E"/>
    <w:rsid w:val="00133AAA"/>
    <w:rsid w:val="00134D99"/>
    <w:rsid w:val="0013502E"/>
    <w:rsid w:val="0013583A"/>
    <w:rsid w:val="00135DEC"/>
    <w:rsid w:val="00136E99"/>
    <w:rsid w:val="00136F76"/>
    <w:rsid w:val="00137489"/>
    <w:rsid w:val="00137562"/>
    <w:rsid w:val="001375A4"/>
    <w:rsid w:val="00137BA7"/>
    <w:rsid w:val="00140FD6"/>
    <w:rsid w:val="001411A4"/>
    <w:rsid w:val="001417F4"/>
    <w:rsid w:val="001423E0"/>
    <w:rsid w:val="00142E8F"/>
    <w:rsid w:val="00142F4E"/>
    <w:rsid w:val="0014395D"/>
    <w:rsid w:val="00144A75"/>
    <w:rsid w:val="00144C61"/>
    <w:rsid w:val="00145127"/>
    <w:rsid w:val="00145A9C"/>
    <w:rsid w:val="00146E6F"/>
    <w:rsid w:val="00147378"/>
    <w:rsid w:val="001507F0"/>
    <w:rsid w:val="00151383"/>
    <w:rsid w:val="00151575"/>
    <w:rsid w:val="001516A8"/>
    <w:rsid w:val="00152AF0"/>
    <w:rsid w:val="0015330A"/>
    <w:rsid w:val="00153F08"/>
    <w:rsid w:val="001545E0"/>
    <w:rsid w:val="00154EA3"/>
    <w:rsid w:val="001550B9"/>
    <w:rsid w:val="00156321"/>
    <w:rsid w:val="00156EFD"/>
    <w:rsid w:val="00157432"/>
    <w:rsid w:val="00157F94"/>
    <w:rsid w:val="001602EA"/>
    <w:rsid w:val="00160355"/>
    <w:rsid w:val="00160689"/>
    <w:rsid w:val="00160DBC"/>
    <w:rsid w:val="001612E7"/>
    <w:rsid w:val="00161975"/>
    <w:rsid w:val="00161D17"/>
    <w:rsid w:val="00162040"/>
    <w:rsid w:val="001622D2"/>
    <w:rsid w:val="00162C87"/>
    <w:rsid w:val="0016392D"/>
    <w:rsid w:val="00164214"/>
    <w:rsid w:val="0016436E"/>
    <w:rsid w:val="00164C89"/>
    <w:rsid w:val="00164D10"/>
    <w:rsid w:val="00165083"/>
    <w:rsid w:val="00165BB2"/>
    <w:rsid w:val="00167095"/>
    <w:rsid w:val="001708FA"/>
    <w:rsid w:val="001709AE"/>
    <w:rsid w:val="00172541"/>
    <w:rsid w:val="00172A27"/>
    <w:rsid w:val="00172C70"/>
    <w:rsid w:val="00173F86"/>
    <w:rsid w:val="001743D1"/>
    <w:rsid w:val="001747D8"/>
    <w:rsid w:val="00175C97"/>
    <w:rsid w:val="001761F9"/>
    <w:rsid w:val="00176713"/>
    <w:rsid w:val="00176990"/>
    <w:rsid w:val="00176FBE"/>
    <w:rsid w:val="001812CA"/>
    <w:rsid w:val="00181892"/>
    <w:rsid w:val="00182FBE"/>
    <w:rsid w:val="001833EE"/>
    <w:rsid w:val="001834F4"/>
    <w:rsid w:val="00183CB9"/>
    <w:rsid w:val="001850E0"/>
    <w:rsid w:val="0018518C"/>
    <w:rsid w:val="00185340"/>
    <w:rsid w:val="001859F0"/>
    <w:rsid w:val="0018655A"/>
    <w:rsid w:val="00186B59"/>
    <w:rsid w:val="001871D5"/>
    <w:rsid w:val="00190259"/>
    <w:rsid w:val="001911B7"/>
    <w:rsid w:val="001913FC"/>
    <w:rsid w:val="00191E7B"/>
    <w:rsid w:val="0019247B"/>
    <w:rsid w:val="00192B03"/>
    <w:rsid w:val="00193092"/>
    <w:rsid w:val="00193153"/>
    <w:rsid w:val="001933DA"/>
    <w:rsid w:val="001938A5"/>
    <w:rsid w:val="001942E6"/>
    <w:rsid w:val="001943AE"/>
    <w:rsid w:val="00194CD7"/>
    <w:rsid w:val="00194E6E"/>
    <w:rsid w:val="001953D7"/>
    <w:rsid w:val="00195485"/>
    <w:rsid w:val="00195F5F"/>
    <w:rsid w:val="00197735"/>
    <w:rsid w:val="001A02D9"/>
    <w:rsid w:val="001A1538"/>
    <w:rsid w:val="001A1C21"/>
    <w:rsid w:val="001A36DE"/>
    <w:rsid w:val="001A3C77"/>
    <w:rsid w:val="001A4819"/>
    <w:rsid w:val="001A62AB"/>
    <w:rsid w:val="001A6C74"/>
    <w:rsid w:val="001A6F9B"/>
    <w:rsid w:val="001A7994"/>
    <w:rsid w:val="001B1474"/>
    <w:rsid w:val="001B265D"/>
    <w:rsid w:val="001B30B7"/>
    <w:rsid w:val="001B3236"/>
    <w:rsid w:val="001B4B35"/>
    <w:rsid w:val="001B5BE1"/>
    <w:rsid w:val="001B5C1E"/>
    <w:rsid w:val="001B63B8"/>
    <w:rsid w:val="001B6757"/>
    <w:rsid w:val="001B67D3"/>
    <w:rsid w:val="001C0172"/>
    <w:rsid w:val="001C1075"/>
    <w:rsid w:val="001C10B9"/>
    <w:rsid w:val="001C2C58"/>
    <w:rsid w:val="001C412D"/>
    <w:rsid w:val="001C594D"/>
    <w:rsid w:val="001C6CD8"/>
    <w:rsid w:val="001D1D77"/>
    <w:rsid w:val="001D2A2D"/>
    <w:rsid w:val="001D4A6E"/>
    <w:rsid w:val="001D562C"/>
    <w:rsid w:val="001D58A8"/>
    <w:rsid w:val="001D6932"/>
    <w:rsid w:val="001D6C02"/>
    <w:rsid w:val="001D6F80"/>
    <w:rsid w:val="001D7171"/>
    <w:rsid w:val="001D7C09"/>
    <w:rsid w:val="001E10C2"/>
    <w:rsid w:val="001E166C"/>
    <w:rsid w:val="001E1EAE"/>
    <w:rsid w:val="001E23F4"/>
    <w:rsid w:val="001E2AB2"/>
    <w:rsid w:val="001E2BA7"/>
    <w:rsid w:val="001E3795"/>
    <w:rsid w:val="001E4C2A"/>
    <w:rsid w:val="001E5962"/>
    <w:rsid w:val="001E5B0A"/>
    <w:rsid w:val="001E727E"/>
    <w:rsid w:val="001E7CEC"/>
    <w:rsid w:val="001F08DA"/>
    <w:rsid w:val="001F19DF"/>
    <w:rsid w:val="001F1A07"/>
    <w:rsid w:val="001F1CBF"/>
    <w:rsid w:val="001F352D"/>
    <w:rsid w:val="001F36BE"/>
    <w:rsid w:val="001F377D"/>
    <w:rsid w:val="001F4688"/>
    <w:rsid w:val="001F4DFD"/>
    <w:rsid w:val="001F5079"/>
    <w:rsid w:val="001F5609"/>
    <w:rsid w:val="001F5B39"/>
    <w:rsid w:val="001F5DAC"/>
    <w:rsid w:val="001F653B"/>
    <w:rsid w:val="001F6645"/>
    <w:rsid w:val="001F77D5"/>
    <w:rsid w:val="00200D48"/>
    <w:rsid w:val="00200DEB"/>
    <w:rsid w:val="00203B5B"/>
    <w:rsid w:val="0020487E"/>
    <w:rsid w:val="0020505F"/>
    <w:rsid w:val="00205FEF"/>
    <w:rsid w:val="0020601C"/>
    <w:rsid w:val="0020646C"/>
    <w:rsid w:val="002064CC"/>
    <w:rsid w:val="00207CA0"/>
    <w:rsid w:val="00211166"/>
    <w:rsid w:val="002114AA"/>
    <w:rsid w:val="002118AE"/>
    <w:rsid w:val="00212932"/>
    <w:rsid w:val="00213052"/>
    <w:rsid w:val="0021373A"/>
    <w:rsid w:val="0021375B"/>
    <w:rsid w:val="002148AD"/>
    <w:rsid w:val="00214B9B"/>
    <w:rsid w:val="00215B2F"/>
    <w:rsid w:val="00217663"/>
    <w:rsid w:val="002178D8"/>
    <w:rsid w:val="00220045"/>
    <w:rsid w:val="0022048F"/>
    <w:rsid w:val="00222F81"/>
    <w:rsid w:val="00223F31"/>
    <w:rsid w:val="00224F5E"/>
    <w:rsid w:val="002254EE"/>
    <w:rsid w:val="00225689"/>
    <w:rsid w:val="00225B1E"/>
    <w:rsid w:val="002264EC"/>
    <w:rsid w:val="002275EB"/>
    <w:rsid w:val="00227850"/>
    <w:rsid w:val="0023171D"/>
    <w:rsid w:val="00232BBE"/>
    <w:rsid w:val="00233220"/>
    <w:rsid w:val="002338C6"/>
    <w:rsid w:val="0023423D"/>
    <w:rsid w:val="00235082"/>
    <w:rsid w:val="002355AC"/>
    <w:rsid w:val="002358D1"/>
    <w:rsid w:val="00235CAF"/>
    <w:rsid w:val="002364C6"/>
    <w:rsid w:val="00236EEB"/>
    <w:rsid w:val="002372A6"/>
    <w:rsid w:val="00237592"/>
    <w:rsid w:val="002376CD"/>
    <w:rsid w:val="0023773F"/>
    <w:rsid w:val="00237EF5"/>
    <w:rsid w:val="002403F7"/>
    <w:rsid w:val="002407AD"/>
    <w:rsid w:val="00240978"/>
    <w:rsid w:val="00240F15"/>
    <w:rsid w:val="0024222C"/>
    <w:rsid w:val="00242982"/>
    <w:rsid w:val="00242B9A"/>
    <w:rsid w:val="002432CD"/>
    <w:rsid w:val="00244007"/>
    <w:rsid w:val="002446A1"/>
    <w:rsid w:val="00244B65"/>
    <w:rsid w:val="00244CC1"/>
    <w:rsid w:val="0024574B"/>
    <w:rsid w:val="0024580A"/>
    <w:rsid w:val="00246924"/>
    <w:rsid w:val="00246BE7"/>
    <w:rsid w:val="00247225"/>
    <w:rsid w:val="002507A7"/>
    <w:rsid w:val="0025118E"/>
    <w:rsid w:val="002517C0"/>
    <w:rsid w:val="0025190B"/>
    <w:rsid w:val="002523B6"/>
    <w:rsid w:val="0025294F"/>
    <w:rsid w:val="00254B05"/>
    <w:rsid w:val="002565BE"/>
    <w:rsid w:val="00256F3A"/>
    <w:rsid w:val="00256F41"/>
    <w:rsid w:val="00256F6C"/>
    <w:rsid w:val="0026012F"/>
    <w:rsid w:val="002603FE"/>
    <w:rsid w:val="00260ACA"/>
    <w:rsid w:val="00260B5E"/>
    <w:rsid w:val="00261CB8"/>
    <w:rsid w:val="00261D4B"/>
    <w:rsid w:val="002626D5"/>
    <w:rsid w:val="002629E4"/>
    <w:rsid w:val="00262A23"/>
    <w:rsid w:val="0026465F"/>
    <w:rsid w:val="00264FF3"/>
    <w:rsid w:val="0026528F"/>
    <w:rsid w:val="0026596A"/>
    <w:rsid w:val="0026689E"/>
    <w:rsid w:val="00266D83"/>
    <w:rsid w:val="0026702E"/>
    <w:rsid w:val="0026796E"/>
    <w:rsid w:val="00270419"/>
    <w:rsid w:val="00270998"/>
    <w:rsid w:val="00270EDC"/>
    <w:rsid w:val="002721D8"/>
    <w:rsid w:val="00274521"/>
    <w:rsid w:val="00274BE9"/>
    <w:rsid w:val="00274D4B"/>
    <w:rsid w:val="00275BF1"/>
    <w:rsid w:val="00276863"/>
    <w:rsid w:val="00276C8C"/>
    <w:rsid w:val="002774BF"/>
    <w:rsid w:val="002776DA"/>
    <w:rsid w:val="00277DE7"/>
    <w:rsid w:val="00280067"/>
    <w:rsid w:val="0028011C"/>
    <w:rsid w:val="0028057F"/>
    <w:rsid w:val="00281148"/>
    <w:rsid w:val="0028166E"/>
    <w:rsid w:val="00281957"/>
    <w:rsid w:val="00281C54"/>
    <w:rsid w:val="00281EB2"/>
    <w:rsid w:val="0028240A"/>
    <w:rsid w:val="00282994"/>
    <w:rsid w:val="00283F4C"/>
    <w:rsid w:val="002841CC"/>
    <w:rsid w:val="002858CD"/>
    <w:rsid w:val="002865FD"/>
    <w:rsid w:val="00286CA0"/>
    <w:rsid w:val="00287281"/>
    <w:rsid w:val="002873CA"/>
    <w:rsid w:val="00287BE7"/>
    <w:rsid w:val="00291393"/>
    <w:rsid w:val="002932B1"/>
    <w:rsid w:val="00294E3D"/>
    <w:rsid w:val="002950BE"/>
    <w:rsid w:val="0029515F"/>
    <w:rsid w:val="00296513"/>
    <w:rsid w:val="00296E09"/>
    <w:rsid w:val="002974D8"/>
    <w:rsid w:val="00297969"/>
    <w:rsid w:val="002A0BF3"/>
    <w:rsid w:val="002A0C1E"/>
    <w:rsid w:val="002A1586"/>
    <w:rsid w:val="002A1E86"/>
    <w:rsid w:val="002A272E"/>
    <w:rsid w:val="002A2AEC"/>
    <w:rsid w:val="002A34B8"/>
    <w:rsid w:val="002A3FCE"/>
    <w:rsid w:val="002A4485"/>
    <w:rsid w:val="002A5493"/>
    <w:rsid w:val="002A5FE1"/>
    <w:rsid w:val="002A688A"/>
    <w:rsid w:val="002A6A23"/>
    <w:rsid w:val="002A6A2B"/>
    <w:rsid w:val="002A6AFE"/>
    <w:rsid w:val="002A73CB"/>
    <w:rsid w:val="002B0F3C"/>
    <w:rsid w:val="002B177D"/>
    <w:rsid w:val="002B18CD"/>
    <w:rsid w:val="002B1E51"/>
    <w:rsid w:val="002B3458"/>
    <w:rsid w:val="002B3542"/>
    <w:rsid w:val="002B4979"/>
    <w:rsid w:val="002B4A2F"/>
    <w:rsid w:val="002B4A9D"/>
    <w:rsid w:val="002B63F0"/>
    <w:rsid w:val="002B694B"/>
    <w:rsid w:val="002B6AFE"/>
    <w:rsid w:val="002B7818"/>
    <w:rsid w:val="002B7C9C"/>
    <w:rsid w:val="002C154E"/>
    <w:rsid w:val="002C2A02"/>
    <w:rsid w:val="002C2B2A"/>
    <w:rsid w:val="002C2BC7"/>
    <w:rsid w:val="002C3022"/>
    <w:rsid w:val="002C3EA7"/>
    <w:rsid w:val="002C4A24"/>
    <w:rsid w:val="002C4F7A"/>
    <w:rsid w:val="002C4FFD"/>
    <w:rsid w:val="002C523A"/>
    <w:rsid w:val="002C5388"/>
    <w:rsid w:val="002C5D99"/>
    <w:rsid w:val="002C729B"/>
    <w:rsid w:val="002C7A42"/>
    <w:rsid w:val="002D0558"/>
    <w:rsid w:val="002D0B8B"/>
    <w:rsid w:val="002D1286"/>
    <w:rsid w:val="002D12E7"/>
    <w:rsid w:val="002D2B0E"/>
    <w:rsid w:val="002D3770"/>
    <w:rsid w:val="002D3BDE"/>
    <w:rsid w:val="002D3EB5"/>
    <w:rsid w:val="002D46D4"/>
    <w:rsid w:val="002D4BA3"/>
    <w:rsid w:val="002D5998"/>
    <w:rsid w:val="002D59E7"/>
    <w:rsid w:val="002D5CB8"/>
    <w:rsid w:val="002D6D85"/>
    <w:rsid w:val="002D6F4A"/>
    <w:rsid w:val="002D7530"/>
    <w:rsid w:val="002D7F67"/>
    <w:rsid w:val="002E02FA"/>
    <w:rsid w:val="002E16FA"/>
    <w:rsid w:val="002E2585"/>
    <w:rsid w:val="002E25B6"/>
    <w:rsid w:val="002E2691"/>
    <w:rsid w:val="002E2C26"/>
    <w:rsid w:val="002E2CD4"/>
    <w:rsid w:val="002E35B6"/>
    <w:rsid w:val="002E35CE"/>
    <w:rsid w:val="002E372D"/>
    <w:rsid w:val="002E3EF9"/>
    <w:rsid w:val="002E3F43"/>
    <w:rsid w:val="002E4290"/>
    <w:rsid w:val="002E4E07"/>
    <w:rsid w:val="002E5607"/>
    <w:rsid w:val="002E5BFC"/>
    <w:rsid w:val="002E6A4D"/>
    <w:rsid w:val="002E6ACC"/>
    <w:rsid w:val="002E7F99"/>
    <w:rsid w:val="002F09E7"/>
    <w:rsid w:val="002F1312"/>
    <w:rsid w:val="002F169C"/>
    <w:rsid w:val="002F1BE5"/>
    <w:rsid w:val="002F1CB1"/>
    <w:rsid w:val="002F235E"/>
    <w:rsid w:val="002F2683"/>
    <w:rsid w:val="002F2A5D"/>
    <w:rsid w:val="002F3581"/>
    <w:rsid w:val="002F420C"/>
    <w:rsid w:val="002F6A75"/>
    <w:rsid w:val="002F7530"/>
    <w:rsid w:val="002F7B9A"/>
    <w:rsid w:val="002F7DBC"/>
    <w:rsid w:val="003008F4"/>
    <w:rsid w:val="00300FC9"/>
    <w:rsid w:val="003013B5"/>
    <w:rsid w:val="0030169B"/>
    <w:rsid w:val="00301722"/>
    <w:rsid w:val="00302E74"/>
    <w:rsid w:val="0030430A"/>
    <w:rsid w:val="003047CE"/>
    <w:rsid w:val="00304D64"/>
    <w:rsid w:val="003056BE"/>
    <w:rsid w:val="00305B3A"/>
    <w:rsid w:val="00305D9E"/>
    <w:rsid w:val="00306483"/>
    <w:rsid w:val="00306878"/>
    <w:rsid w:val="00307278"/>
    <w:rsid w:val="00307CC8"/>
    <w:rsid w:val="00310AE6"/>
    <w:rsid w:val="003111B0"/>
    <w:rsid w:val="00311228"/>
    <w:rsid w:val="00311381"/>
    <w:rsid w:val="00312099"/>
    <w:rsid w:val="0031284A"/>
    <w:rsid w:val="00312CAE"/>
    <w:rsid w:val="003135F2"/>
    <w:rsid w:val="00314403"/>
    <w:rsid w:val="00315ED9"/>
    <w:rsid w:val="00316013"/>
    <w:rsid w:val="00316782"/>
    <w:rsid w:val="00316A69"/>
    <w:rsid w:val="00316CE2"/>
    <w:rsid w:val="003174B5"/>
    <w:rsid w:val="00317A58"/>
    <w:rsid w:val="00317B12"/>
    <w:rsid w:val="00317FBC"/>
    <w:rsid w:val="00320499"/>
    <w:rsid w:val="00321522"/>
    <w:rsid w:val="003219C4"/>
    <w:rsid w:val="00321A78"/>
    <w:rsid w:val="003225AE"/>
    <w:rsid w:val="00322EF3"/>
    <w:rsid w:val="00322F46"/>
    <w:rsid w:val="00322FE2"/>
    <w:rsid w:val="003236EB"/>
    <w:rsid w:val="00323AD5"/>
    <w:rsid w:val="00323CA5"/>
    <w:rsid w:val="00324E65"/>
    <w:rsid w:val="003258F6"/>
    <w:rsid w:val="0032614B"/>
    <w:rsid w:val="00327052"/>
    <w:rsid w:val="003305E2"/>
    <w:rsid w:val="00332741"/>
    <w:rsid w:val="00332BD9"/>
    <w:rsid w:val="00332E32"/>
    <w:rsid w:val="003332C2"/>
    <w:rsid w:val="00333575"/>
    <w:rsid w:val="003336D2"/>
    <w:rsid w:val="00333C1E"/>
    <w:rsid w:val="00333C55"/>
    <w:rsid w:val="0033574B"/>
    <w:rsid w:val="00336602"/>
    <w:rsid w:val="003369CF"/>
    <w:rsid w:val="00336D56"/>
    <w:rsid w:val="00337443"/>
    <w:rsid w:val="003403DF"/>
    <w:rsid w:val="00340798"/>
    <w:rsid w:val="00340DFA"/>
    <w:rsid w:val="003423B0"/>
    <w:rsid w:val="00344390"/>
    <w:rsid w:val="00344A41"/>
    <w:rsid w:val="0034592F"/>
    <w:rsid w:val="00345B28"/>
    <w:rsid w:val="00346585"/>
    <w:rsid w:val="00347711"/>
    <w:rsid w:val="0035140D"/>
    <w:rsid w:val="00351A11"/>
    <w:rsid w:val="00351ADE"/>
    <w:rsid w:val="00351D69"/>
    <w:rsid w:val="00351ED1"/>
    <w:rsid w:val="00352AC5"/>
    <w:rsid w:val="00353569"/>
    <w:rsid w:val="00353D82"/>
    <w:rsid w:val="00354634"/>
    <w:rsid w:val="00355124"/>
    <w:rsid w:val="0035628D"/>
    <w:rsid w:val="003566B7"/>
    <w:rsid w:val="003567FD"/>
    <w:rsid w:val="00357AC7"/>
    <w:rsid w:val="00357B72"/>
    <w:rsid w:val="003601E1"/>
    <w:rsid w:val="00360221"/>
    <w:rsid w:val="00360F5A"/>
    <w:rsid w:val="0036110B"/>
    <w:rsid w:val="003613AA"/>
    <w:rsid w:val="00363263"/>
    <w:rsid w:val="00363F4E"/>
    <w:rsid w:val="00364E40"/>
    <w:rsid w:val="00367405"/>
    <w:rsid w:val="00371D2A"/>
    <w:rsid w:val="003725B7"/>
    <w:rsid w:val="003726EC"/>
    <w:rsid w:val="00372A5A"/>
    <w:rsid w:val="003733A5"/>
    <w:rsid w:val="00373834"/>
    <w:rsid w:val="0037385E"/>
    <w:rsid w:val="00373901"/>
    <w:rsid w:val="003740AC"/>
    <w:rsid w:val="003749FC"/>
    <w:rsid w:val="00375235"/>
    <w:rsid w:val="00375621"/>
    <w:rsid w:val="0037620A"/>
    <w:rsid w:val="00376808"/>
    <w:rsid w:val="003773DF"/>
    <w:rsid w:val="00377B82"/>
    <w:rsid w:val="00377C65"/>
    <w:rsid w:val="003808AF"/>
    <w:rsid w:val="00380B03"/>
    <w:rsid w:val="00380FC6"/>
    <w:rsid w:val="003822C6"/>
    <w:rsid w:val="003827C7"/>
    <w:rsid w:val="00382C3D"/>
    <w:rsid w:val="003833FA"/>
    <w:rsid w:val="003839B3"/>
    <w:rsid w:val="003840F8"/>
    <w:rsid w:val="0038467A"/>
    <w:rsid w:val="0038474F"/>
    <w:rsid w:val="00386055"/>
    <w:rsid w:val="0038649A"/>
    <w:rsid w:val="003869C7"/>
    <w:rsid w:val="00387652"/>
    <w:rsid w:val="00390166"/>
    <w:rsid w:val="003902EC"/>
    <w:rsid w:val="00390833"/>
    <w:rsid w:val="0039088B"/>
    <w:rsid w:val="00390A8B"/>
    <w:rsid w:val="00390C87"/>
    <w:rsid w:val="0039105A"/>
    <w:rsid w:val="00391349"/>
    <w:rsid w:val="003917D5"/>
    <w:rsid w:val="00391C89"/>
    <w:rsid w:val="00391D2F"/>
    <w:rsid w:val="003922A7"/>
    <w:rsid w:val="00394425"/>
    <w:rsid w:val="003948EA"/>
    <w:rsid w:val="00394BFC"/>
    <w:rsid w:val="0039525F"/>
    <w:rsid w:val="003958E1"/>
    <w:rsid w:val="0039764D"/>
    <w:rsid w:val="00397C45"/>
    <w:rsid w:val="00397C61"/>
    <w:rsid w:val="003A07D3"/>
    <w:rsid w:val="003A0827"/>
    <w:rsid w:val="003A1306"/>
    <w:rsid w:val="003A21B0"/>
    <w:rsid w:val="003A242D"/>
    <w:rsid w:val="003A3DCA"/>
    <w:rsid w:val="003A46D3"/>
    <w:rsid w:val="003A4BAE"/>
    <w:rsid w:val="003A5874"/>
    <w:rsid w:val="003A5D5C"/>
    <w:rsid w:val="003A64BC"/>
    <w:rsid w:val="003A64E7"/>
    <w:rsid w:val="003A658F"/>
    <w:rsid w:val="003A7B95"/>
    <w:rsid w:val="003B062F"/>
    <w:rsid w:val="003B07BE"/>
    <w:rsid w:val="003B092C"/>
    <w:rsid w:val="003B1612"/>
    <w:rsid w:val="003B1AA6"/>
    <w:rsid w:val="003B1ACD"/>
    <w:rsid w:val="003B2194"/>
    <w:rsid w:val="003B2228"/>
    <w:rsid w:val="003B38A7"/>
    <w:rsid w:val="003B4FBC"/>
    <w:rsid w:val="003B5D28"/>
    <w:rsid w:val="003B6465"/>
    <w:rsid w:val="003B6569"/>
    <w:rsid w:val="003B6584"/>
    <w:rsid w:val="003C091E"/>
    <w:rsid w:val="003C094F"/>
    <w:rsid w:val="003C0BEE"/>
    <w:rsid w:val="003C165F"/>
    <w:rsid w:val="003C1BBF"/>
    <w:rsid w:val="003C1CE0"/>
    <w:rsid w:val="003C291B"/>
    <w:rsid w:val="003C3C9D"/>
    <w:rsid w:val="003C4C1A"/>
    <w:rsid w:val="003C5726"/>
    <w:rsid w:val="003C5904"/>
    <w:rsid w:val="003C62ED"/>
    <w:rsid w:val="003C6302"/>
    <w:rsid w:val="003C635B"/>
    <w:rsid w:val="003C6735"/>
    <w:rsid w:val="003C6B9B"/>
    <w:rsid w:val="003C71B2"/>
    <w:rsid w:val="003C75C7"/>
    <w:rsid w:val="003C78B6"/>
    <w:rsid w:val="003D2922"/>
    <w:rsid w:val="003D318F"/>
    <w:rsid w:val="003D3295"/>
    <w:rsid w:val="003D3929"/>
    <w:rsid w:val="003D4663"/>
    <w:rsid w:val="003D5DEE"/>
    <w:rsid w:val="003D5EFC"/>
    <w:rsid w:val="003D5F8C"/>
    <w:rsid w:val="003D6A04"/>
    <w:rsid w:val="003D6BBB"/>
    <w:rsid w:val="003D6C22"/>
    <w:rsid w:val="003D7583"/>
    <w:rsid w:val="003D7740"/>
    <w:rsid w:val="003E0F6F"/>
    <w:rsid w:val="003E1382"/>
    <w:rsid w:val="003E1B2A"/>
    <w:rsid w:val="003E293F"/>
    <w:rsid w:val="003E55F4"/>
    <w:rsid w:val="003E5723"/>
    <w:rsid w:val="003E5805"/>
    <w:rsid w:val="003E67A6"/>
    <w:rsid w:val="003E6F44"/>
    <w:rsid w:val="003F012D"/>
    <w:rsid w:val="003F0B4D"/>
    <w:rsid w:val="003F1253"/>
    <w:rsid w:val="003F1EA8"/>
    <w:rsid w:val="003F294B"/>
    <w:rsid w:val="003F35B6"/>
    <w:rsid w:val="003F3802"/>
    <w:rsid w:val="003F441A"/>
    <w:rsid w:val="003F4848"/>
    <w:rsid w:val="003F686D"/>
    <w:rsid w:val="003F7437"/>
    <w:rsid w:val="003F7CF9"/>
    <w:rsid w:val="004001B2"/>
    <w:rsid w:val="00401D95"/>
    <w:rsid w:val="004031D8"/>
    <w:rsid w:val="00403553"/>
    <w:rsid w:val="00403DE4"/>
    <w:rsid w:val="00404032"/>
    <w:rsid w:val="00404B65"/>
    <w:rsid w:val="0040586B"/>
    <w:rsid w:val="004058F4"/>
    <w:rsid w:val="004069C9"/>
    <w:rsid w:val="00407818"/>
    <w:rsid w:val="00410022"/>
    <w:rsid w:val="004100A2"/>
    <w:rsid w:val="00410824"/>
    <w:rsid w:val="00411144"/>
    <w:rsid w:val="00411ABA"/>
    <w:rsid w:val="00413B21"/>
    <w:rsid w:val="00415018"/>
    <w:rsid w:val="004151F5"/>
    <w:rsid w:val="00415B26"/>
    <w:rsid w:val="0041617C"/>
    <w:rsid w:val="00416B1D"/>
    <w:rsid w:val="00417A94"/>
    <w:rsid w:val="00422301"/>
    <w:rsid w:val="00422B00"/>
    <w:rsid w:val="00422E75"/>
    <w:rsid w:val="0042367A"/>
    <w:rsid w:val="00423F5C"/>
    <w:rsid w:val="00424403"/>
    <w:rsid w:val="004254D4"/>
    <w:rsid w:val="00425799"/>
    <w:rsid w:val="00425A3A"/>
    <w:rsid w:val="0042632B"/>
    <w:rsid w:val="0042694D"/>
    <w:rsid w:val="00426F37"/>
    <w:rsid w:val="004275EB"/>
    <w:rsid w:val="00427915"/>
    <w:rsid w:val="00427B08"/>
    <w:rsid w:val="00431B09"/>
    <w:rsid w:val="00432142"/>
    <w:rsid w:val="00432641"/>
    <w:rsid w:val="004341C2"/>
    <w:rsid w:val="00434263"/>
    <w:rsid w:val="004345A5"/>
    <w:rsid w:val="00435959"/>
    <w:rsid w:val="004364B2"/>
    <w:rsid w:val="004371EC"/>
    <w:rsid w:val="00437367"/>
    <w:rsid w:val="00437F6F"/>
    <w:rsid w:val="00441F56"/>
    <w:rsid w:val="0044216F"/>
    <w:rsid w:val="004422A5"/>
    <w:rsid w:val="0044313B"/>
    <w:rsid w:val="00444BD4"/>
    <w:rsid w:val="004454FF"/>
    <w:rsid w:val="00446BB4"/>
    <w:rsid w:val="00447C3D"/>
    <w:rsid w:val="00447D49"/>
    <w:rsid w:val="00450B9F"/>
    <w:rsid w:val="00450D33"/>
    <w:rsid w:val="00450DF5"/>
    <w:rsid w:val="0045161B"/>
    <w:rsid w:val="00452132"/>
    <w:rsid w:val="00452328"/>
    <w:rsid w:val="004524BF"/>
    <w:rsid w:val="00453A30"/>
    <w:rsid w:val="00454A06"/>
    <w:rsid w:val="00454BC3"/>
    <w:rsid w:val="00454DD7"/>
    <w:rsid w:val="00454F2F"/>
    <w:rsid w:val="00455219"/>
    <w:rsid w:val="00455931"/>
    <w:rsid w:val="004559FC"/>
    <w:rsid w:val="00455A1C"/>
    <w:rsid w:val="00455D7D"/>
    <w:rsid w:val="00456217"/>
    <w:rsid w:val="00460672"/>
    <w:rsid w:val="004613FF"/>
    <w:rsid w:val="004625C8"/>
    <w:rsid w:val="00462780"/>
    <w:rsid w:val="00462A92"/>
    <w:rsid w:val="00463624"/>
    <w:rsid w:val="00464501"/>
    <w:rsid w:val="0046501D"/>
    <w:rsid w:val="004659B9"/>
    <w:rsid w:val="00466C20"/>
    <w:rsid w:val="00466FE2"/>
    <w:rsid w:val="004677A1"/>
    <w:rsid w:val="00467AD9"/>
    <w:rsid w:val="00467AE5"/>
    <w:rsid w:val="004706C5"/>
    <w:rsid w:val="00470D92"/>
    <w:rsid w:val="00471FB4"/>
    <w:rsid w:val="00473A90"/>
    <w:rsid w:val="00473F25"/>
    <w:rsid w:val="00474576"/>
    <w:rsid w:val="004749E7"/>
    <w:rsid w:val="00475168"/>
    <w:rsid w:val="00476E7A"/>
    <w:rsid w:val="004829B4"/>
    <w:rsid w:val="004830CD"/>
    <w:rsid w:val="00483847"/>
    <w:rsid w:val="00484617"/>
    <w:rsid w:val="00485341"/>
    <w:rsid w:val="00485B57"/>
    <w:rsid w:val="00485D68"/>
    <w:rsid w:val="0048623D"/>
    <w:rsid w:val="0049005B"/>
    <w:rsid w:val="004906D7"/>
    <w:rsid w:val="00490C8A"/>
    <w:rsid w:val="0049145E"/>
    <w:rsid w:val="00491747"/>
    <w:rsid w:val="00491ECF"/>
    <w:rsid w:val="00492962"/>
    <w:rsid w:val="00492B04"/>
    <w:rsid w:val="00492DB2"/>
    <w:rsid w:val="0049353C"/>
    <w:rsid w:val="00493BBA"/>
    <w:rsid w:val="00493E12"/>
    <w:rsid w:val="00494318"/>
    <w:rsid w:val="004957D1"/>
    <w:rsid w:val="00495C42"/>
    <w:rsid w:val="0049666B"/>
    <w:rsid w:val="00496C9D"/>
    <w:rsid w:val="00497782"/>
    <w:rsid w:val="004A013C"/>
    <w:rsid w:val="004A0172"/>
    <w:rsid w:val="004A0B67"/>
    <w:rsid w:val="004A1241"/>
    <w:rsid w:val="004A20E4"/>
    <w:rsid w:val="004A2DB1"/>
    <w:rsid w:val="004A3023"/>
    <w:rsid w:val="004A3366"/>
    <w:rsid w:val="004A3EC9"/>
    <w:rsid w:val="004A75E2"/>
    <w:rsid w:val="004A7614"/>
    <w:rsid w:val="004A7C05"/>
    <w:rsid w:val="004A7EE0"/>
    <w:rsid w:val="004B0435"/>
    <w:rsid w:val="004B09D7"/>
    <w:rsid w:val="004B0CD4"/>
    <w:rsid w:val="004B116D"/>
    <w:rsid w:val="004B1AAF"/>
    <w:rsid w:val="004B1D4B"/>
    <w:rsid w:val="004B2E46"/>
    <w:rsid w:val="004B3569"/>
    <w:rsid w:val="004B4175"/>
    <w:rsid w:val="004B4C22"/>
    <w:rsid w:val="004B4D1D"/>
    <w:rsid w:val="004B5606"/>
    <w:rsid w:val="004B663C"/>
    <w:rsid w:val="004B717C"/>
    <w:rsid w:val="004B74B5"/>
    <w:rsid w:val="004B7AC9"/>
    <w:rsid w:val="004C0D0A"/>
    <w:rsid w:val="004C2483"/>
    <w:rsid w:val="004C2AF5"/>
    <w:rsid w:val="004C2F8E"/>
    <w:rsid w:val="004C3325"/>
    <w:rsid w:val="004C40C3"/>
    <w:rsid w:val="004C4D10"/>
    <w:rsid w:val="004C51D8"/>
    <w:rsid w:val="004C5AAD"/>
    <w:rsid w:val="004C5C77"/>
    <w:rsid w:val="004C5F00"/>
    <w:rsid w:val="004C5FB4"/>
    <w:rsid w:val="004C68B7"/>
    <w:rsid w:val="004C6BA0"/>
    <w:rsid w:val="004D02A0"/>
    <w:rsid w:val="004D05F3"/>
    <w:rsid w:val="004D077D"/>
    <w:rsid w:val="004D13CD"/>
    <w:rsid w:val="004D1678"/>
    <w:rsid w:val="004D1BE8"/>
    <w:rsid w:val="004D213A"/>
    <w:rsid w:val="004D24C6"/>
    <w:rsid w:val="004D2ED8"/>
    <w:rsid w:val="004D3364"/>
    <w:rsid w:val="004D508C"/>
    <w:rsid w:val="004D53E6"/>
    <w:rsid w:val="004E033C"/>
    <w:rsid w:val="004E034B"/>
    <w:rsid w:val="004E0574"/>
    <w:rsid w:val="004E1679"/>
    <w:rsid w:val="004E17C0"/>
    <w:rsid w:val="004E1F7F"/>
    <w:rsid w:val="004E335E"/>
    <w:rsid w:val="004E3DAA"/>
    <w:rsid w:val="004E540F"/>
    <w:rsid w:val="004E5C8E"/>
    <w:rsid w:val="004E5D52"/>
    <w:rsid w:val="004E67AE"/>
    <w:rsid w:val="004E70C9"/>
    <w:rsid w:val="004E7202"/>
    <w:rsid w:val="004E77D0"/>
    <w:rsid w:val="004F000D"/>
    <w:rsid w:val="004F0201"/>
    <w:rsid w:val="004F02C1"/>
    <w:rsid w:val="004F0797"/>
    <w:rsid w:val="004F0C05"/>
    <w:rsid w:val="004F17E6"/>
    <w:rsid w:val="004F31E4"/>
    <w:rsid w:val="004F350F"/>
    <w:rsid w:val="004F3D74"/>
    <w:rsid w:val="004F3F0A"/>
    <w:rsid w:val="004F3F2D"/>
    <w:rsid w:val="004F417C"/>
    <w:rsid w:val="004F42E0"/>
    <w:rsid w:val="004F495B"/>
    <w:rsid w:val="004F4DBC"/>
    <w:rsid w:val="004F5322"/>
    <w:rsid w:val="004F53DF"/>
    <w:rsid w:val="004F5845"/>
    <w:rsid w:val="004F5B71"/>
    <w:rsid w:val="004F5D60"/>
    <w:rsid w:val="004F6958"/>
    <w:rsid w:val="004F6E30"/>
    <w:rsid w:val="004F7B11"/>
    <w:rsid w:val="0050018D"/>
    <w:rsid w:val="00501985"/>
    <w:rsid w:val="005020A4"/>
    <w:rsid w:val="005029B9"/>
    <w:rsid w:val="005031F9"/>
    <w:rsid w:val="005042D7"/>
    <w:rsid w:val="0050692C"/>
    <w:rsid w:val="00506BF1"/>
    <w:rsid w:val="0051031D"/>
    <w:rsid w:val="00510370"/>
    <w:rsid w:val="00510F56"/>
    <w:rsid w:val="005110E8"/>
    <w:rsid w:val="0051128C"/>
    <w:rsid w:val="00511812"/>
    <w:rsid w:val="00511BFF"/>
    <w:rsid w:val="00512141"/>
    <w:rsid w:val="00512A3A"/>
    <w:rsid w:val="0051421E"/>
    <w:rsid w:val="005142DF"/>
    <w:rsid w:val="005143E5"/>
    <w:rsid w:val="00514774"/>
    <w:rsid w:val="00514B7B"/>
    <w:rsid w:val="00514FE7"/>
    <w:rsid w:val="005153F2"/>
    <w:rsid w:val="00515957"/>
    <w:rsid w:val="0051699E"/>
    <w:rsid w:val="00516A8B"/>
    <w:rsid w:val="00516B68"/>
    <w:rsid w:val="00516CB7"/>
    <w:rsid w:val="00516F4B"/>
    <w:rsid w:val="005173A6"/>
    <w:rsid w:val="005173EF"/>
    <w:rsid w:val="00517FEF"/>
    <w:rsid w:val="0052046C"/>
    <w:rsid w:val="00520735"/>
    <w:rsid w:val="00520E0F"/>
    <w:rsid w:val="00521594"/>
    <w:rsid w:val="00521ACC"/>
    <w:rsid w:val="005220F5"/>
    <w:rsid w:val="00523DB3"/>
    <w:rsid w:val="00523DCF"/>
    <w:rsid w:val="0052404B"/>
    <w:rsid w:val="00524623"/>
    <w:rsid w:val="00524C75"/>
    <w:rsid w:val="00524FC3"/>
    <w:rsid w:val="00526B4A"/>
    <w:rsid w:val="0052754E"/>
    <w:rsid w:val="00530DCD"/>
    <w:rsid w:val="005319D2"/>
    <w:rsid w:val="00533838"/>
    <w:rsid w:val="00533848"/>
    <w:rsid w:val="00533BA1"/>
    <w:rsid w:val="005344B6"/>
    <w:rsid w:val="0053492E"/>
    <w:rsid w:val="005353BE"/>
    <w:rsid w:val="00536256"/>
    <w:rsid w:val="00536579"/>
    <w:rsid w:val="00537C6A"/>
    <w:rsid w:val="00540382"/>
    <w:rsid w:val="005409CE"/>
    <w:rsid w:val="00540B3A"/>
    <w:rsid w:val="00540BCA"/>
    <w:rsid w:val="00542F5B"/>
    <w:rsid w:val="0054410B"/>
    <w:rsid w:val="00544C3D"/>
    <w:rsid w:val="00545576"/>
    <w:rsid w:val="005457C2"/>
    <w:rsid w:val="005459F5"/>
    <w:rsid w:val="00545BA2"/>
    <w:rsid w:val="00545D96"/>
    <w:rsid w:val="005479F3"/>
    <w:rsid w:val="0055000B"/>
    <w:rsid w:val="0055069E"/>
    <w:rsid w:val="00550A42"/>
    <w:rsid w:val="00550D2F"/>
    <w:rsid w:val="00550F15"/>
    <w:rsid w:val="00551C9B"/>
    <w:rsid w:val="0055201D"/>
    <w:rsid w:val="00552729"/>
    <w:rsid w:val="005529FC"/>
    <w:rsid w:val="00552C53"/>
    <w:rsid w:val="005531E6"/>
    <w:rsid w:val="005541BE"/>
    <w:rsid w:val="00554585"/>
    <w:rsid w:val="00554A71"/>
    <w:rsid w:val="00556780"/>
    <w:rsid w:val="00556F24"/>
    <w:rsid w:val="00557240"/>
    <w:rsid w:val="00557537"/>
    <w:rsid w:val="00557DD0"/>
    <w:rsid w:val="0056025A"/>
    <w:rsid w:val="00560E9A"/>
    <w:rsid w:val="00560FA8"/>
    <w:rsid w:val="005611CC"/>
    <w:rsid w:val="00561A44"/>
    <w:rsid w:val="0056262C"/>
    <w:rsid w:val="00562FD1"/>
    <w:rsid w:val="00564034"/>
    <w:rsid w:val="005645CC"/>
    <w:rsid w:val="005646C8"/>
    <w:rsid w:val="00565031"/>
    <w:rsid w:val="00565739"/>
    <w:rsid w:val="005665C5"/>
    <w:rsid w:val="00567174"/>
    <w:rsid w:val="00567A27"/>
    <w:rsid w:val="00567CFA"/>
    <w:rsid w:val="0057183E"/>
    <w:rsid w:val="005724C7"/>
    <w:rsid w:val="005726F2"/>
    <w:rsid w:val="00572D22"/>
    <w:rsid w:val="00573BC5"/>
    <w:rsid w:val="00573DCC"/>
    <w:rsid w:val="005742AF"/>
    <w:rsid w:val="00574340"/>
    <w:rsid w:val="00574518"/>
    <w:rsid w:val="00575359"/>
    <w:rsid w:val="00576B1B"/>
    <w:rsid w:val="00576FCF"/>
    <w:rsid w:val="00577D17"/>
    <w:rsid w:val="00580540"/>
    <w:rsid w:val="00580B20"/>
    <w:rsid w:val="005810EC"/>
    <w:rsid w:val="00581829"/>
    <w:rsid w:val="00581AE6"/>
    <w:rsid w:val="00583BD6"/>
    <w:rsid w:val="00584E60"/>
    <w:rsid w:val="00585219"/>
    <w:rsid w:val="005858F1"/>
    <w:rsid w:val="00586437"/>
    <w:rsid w:val="00586B45"/>
    <w:rsid w:val="00586BA5"/>
    <w:rsid w:val="00586CAE"/>
    <w:rsid w:val="00586F29"/>
    <w:rsid w:val="00586F2B"/>
    <w:rsid w:val="00587771"/>
    <w:rsid w:val="00590A22"/>
    <w:rsid w:val="00590A2C"/>
    <w:rsid w:val="00590E0E"/>
    <w:rsid w:val="005914CD"/>
    <w:rsid w:val="00591615"/>
    <w:rsid w:val="00591A66"/>
    <w:rsid w:val="00593385"/>
    <w:rsid w:val="00593A33"/>
    <w:rsid w:val="00593B3B"/>
    <w:rsid w:val="00594BB1"/>
    <w:rsid w:val="0059552D"/>
    <w:rsid w:val="00597B6C"/>
    <w:rsid w:val="005A0F4D"/>
    <w:rsid w:val="005A17E6"/>
    <w:rsid w:val="005A4447"/>
    <w:rsid w:val="005A48FC"/>
    <w:rsid w:val="005A4A22"/>
    <w:rsid w:val="005A4BFE"/>
    <w:rsid w:val="005A5C6F"/>
    <w:rsid w:val="005A5ED0"/>
    <w:rsid w:val="005A6D65"/>
    <w:rsid w:val="005A73D1"/>
    <w:rsid w:val="005A7A73"/>
    <w:rsid w:val="005B0E2D"/>
    <w:rsid w:val="005B0F1E"/>
    <w:rsid w:val="005B11FD"/>
    <w:rsid w:val="005B1A5D"/>
    <w:rsid w:val="005B28ED"/>
    <w:rsid w:val="005B2C91"/>
    <w:rsid w:val="005B2FB5"/>
    <w:rsid w:val="005B3A84"/>
    <w:rsid w:val="005B573D"/>
    <w:rsid w:val="005B5B0B"/>
    <w:rsid w:val="005B6556"/>
    <w:rsid w:val="005B694C"/>
    <w:rsid w:val="005B6AD1"/>
    <w:rsid w:val="005B6DD7"/>
    <w:rsid w:val="005C04BC"/>
    <w:rsid w:val="005C1368"/>
    <w:rsid w:val="005C1584"/>
    <w:rsid w:val="005C24F0"/>
    <w:rsid w:val="005C259E"/>
    <w:rsid w:val="005C2648"/>
    <w:rsid w:val="005C3819"/>
    <w:rsid w:val="005C4535"/>
    <w:rsid w:val="005C495B"/>
    <w:rsid w:val="005C4FDF"/>
    <w:rsid w:val="005C5527"/>
    <w:rsid w:val="005C5ADF"/>
    <w:rsid w:val="005C62FC"/>
    <w:rsid w:val="005C66EC"/>
    <w:rsid w:val="005C7059"/>
    <w:rsid w:val="005D0481"/>
    <w:rsid w:val="005D0851"/>
    <w:rsid w:val="005D0C64"/>
    <w:rsid w:val="005D1303"/>
    <w:rsid w:val="005D1821"/>
    <w:rsid w:val="005D1A3E"/>
    <w:rsid w:val="005D2EB7"/>
    <w:rsid w:val="005D3F46"/>
    <w:rsid w:val="005D4214"/>
    <w:rsid w:val="005D626B"/>
    <w:rsid w:val="005D6675"/>
    <w:rsid w:val="005D667C"/>
    <w:rsid w:val="005E0015"/>
    <w:rsid w:val="005E01A5"/>
    <w:rsid w:val="005E1884"/>
    <w:rsid w:val="005E1E37"/>
    <w:rsid w:val="005E314F"/>
    <w:rsid w:val="005E3AD6"/>
    <w:rsid w:val="005E400C"/>
    <w:rsid w:val="005E46F9"/>
    <w:rsid w:val="005E4B05"/>
    <w:rsid w:val="005E537E"/>
    <w:rsid w:val="005E5872"/>
    <w:rsid w:val="005E59BC"/>
    <w:rsid w:val="005E5EF6"/>
    <w:rsid w:val="005E5F70"/>
    <w:rsid w:val="005E62AB"/>
    <w:rsid w:val="005E6A2C"/>
    <w:rsid w:val="005F06F3"/>
    <w:rsid w:val="005F16CC"/>
    <w:rsid w:val="005F16E7"/>
    <w:rsid w:val="005F2056"/>
    <w:rsid w:val="005F2263"/>
    <w:rsid w:val="005F3DAB"/>
    <w:rsid w:val="005F3F07"/>
    <w:rsid w:val="005F3F76"/>
    <w:rsid w:val="005F4F0B"/>
    <w:rsid w:val="005F503A"/>
    <w:rsid w:val="005F5807"/>
    <w:rsid w:val="005F6473"/>
    <w:rsid w:val="0060129C"/>
    <w:rsid w:val="006016D0"/>
    <w:rsid w:val="0060207E"/>
    <w:rsid w:val="00602BC4"/>
    <w:rsid w:val="00603452"/>
    <w:rsid w:val="006054C3"/>
    <w:rsid w:val="006062B6"/>
    <w:rsid w:val="006075C3"/>
    <w:rsid w:val="00607A07"/>
    <w:rsid w:val="00607ACC"/>
    <w:rsid w:val="00607C87"/>
    <w:rsid w:val="00610295"/>
    <w:rsid w:val="006110F2"/>
    <w:rsid w:val="006111D6"/>
    <w:rsid w:val="00612390"/>
    <w:rsid w:val="006123C8"/>
    <w:rsid w:val="0061246D"/>
    <w:rsid w:val="00612A77"/>
    <w:rsid w:val="00613B21"/>
    <w:rsid w:val="006141B8"/>
    <w:rsid w:val="00614671"/>
    <w:rsid w:val="00614EF4"/>
    <w:rsid w:val="00614FD0"/>
    <w:rsid w:val="00615B34"/>
    <w:rsid w:val="00615DAE"/>
    <w:rsid w:val="00615EC5"/>
    <w:rsid w:val="006166C8"/>
    <w:rsid w:val="00616E21"/>
    <w:rsid w:val="00616EBA"/>
    <w:rsid w:val="00621BF9"/>
    <w:rsid w:val="006222E4"/>
    <w:rsid w:val="00623A12"/>
    <w:rsid w:val="00624257"/>
    <w:rsid w:val="00624AC9"/>
    <w:rsid w:val="00625449"/>
    <w:rsid w:val="00625C05"/>
    <w:rsid w:val="00625E85"/>
    <w:rsid w:val="006260FD"/>
    <w:rsid w:val="0062673F"/>
    <w:rsid w:val="0062758D"/>
    <w:rsid w:val="006303C9"/>
    <w:rsid w:val="00630C81"/>
    <w:rsid w:val="00631506"/>
    <w:rsid w:val="00632391"/>
    <w:rsid w:val="00632DC8"/>
    <w:rsid w:val="0063389C"/>
    <w:rsid w:val="006363C8"/>
    <w:rsid w:val="006367C2"/>
    <w:rsid w:val="006379EA"/>
    <w:rsid w:val="006412A4"/>
    <w:rsid w:val="00641383"/>
    <w:rsid w:val="00642D0D"/>
    <w:rsid w:val="00643A97"/>
    <w:rsid w:val="006441EF"/>
    <w:rsid w:val="0064511D"/>
    <w:rsid w:val="00646078"/>
    <w:rsid w:val="00650046"/>
    <w:rsid w:val="00650FD4"/>
    <w:rsid w:val="006522AB"/>
    <w:rsid w:val="00652608"/>
    <w:rsid w:val="00652A07"/>
    <w:rsid w:val="00652CC5"/>
    <w:rsid w:val="00652D24"/>
    <w:rsid w:val="006532F0"/>
    <w:rsid w:val="0065543C"/>
    <w:rsid w:val="00656180"/>
    <w:rsid w:val="0065677E"/>
    <w:rsid w:val="00656A78"/>
    <w:rsid w:val="0065724E"/>
    <w:rsid w:val="006573A0"/>
    <w:rsid w:val="006575F1"/>
    <w:rsid w:val="0065792B"/>
    <w:rsid w:val="006629B7"/>
    <w:rsid w:val="00662E9B"/>
    <w:rsid w:val="00662F04"/>
    <w:rsid w:val="00664208"/>
    <w:rsid w:val="00665458"/>
    <w:rsid w:val="00665519"/>
    <w:rsid w:val="006655A4"/>
    <w:rsid w:val="006665E9"/>
    <w:rsid w:val="0066717F"/>
    <w:rsid w:val="00667474"/>
    <w:rsid w:val="00667B66"/>
    <w:rsid w:val="006702D5"/>
    <w:rsid w:val="00671183"/>
    <w:rsid w:val="00671B5F"/>
    <w:rsid w:val="00672800"/>
    <w:rsid w:val="006739DF"/>
    <w:rsid w:val="00673D7B"/>
    <w:rsid w:val="00674D1F"/>
    <w:rsid w:val="00675261"/>
    <w:rsid w:val="006763F2"/>
    <w:rsid w:val="006768E3"/>
    <w:rsid w:val="006769A3"/>
    <w:rsid w:val="00677340"/>
    <w:rsid w:val="00677432"/>
    <w:rsid w:val="00677652"/>
    <w:rsid w:val="006779D3"/>
    <w:rsid w:val="00677F9D"/>
    <w:rsid w:val="00680FC9"/>
    <w:rsid w:val="00682258"/>
    <w:rsid w:val="00683FD4"/>
    <w:rsid w:val="00685293"/>
    <w:rsid w:val="00685403"/>
    <w:rsid w:val="00685407"/>
    <w:rsid w:val="00685FA0"/>
    <w:rsid w:val="006864F5"/>
    <w:rsid w:val="00686D81"/>
    <w:rsid w:val="006877EA"/>
    <w:rsid w:val="00687A76"/>
    <w:rsid w:val="00690F5B"/>
    <w:rsid w:val="006912DA"/>
    <w:rsid w:val="00692D79"/>
    <w:rsid w:val="00695E89"/>
    <w:rsid w:val="0069615C"/>
    <w:rsid w:val="00696D9F"/>
    <w:rsid w:val="0069718F"/>
    <w:rsid w:val="00697328"/>
    <w:rsid w:val="00697AD5"/>
    <w:rsid w:val="006A07BD"/>
    <w:rsid w:val="006A335E"/>
    <w:rsid w:val="006A3B26"/>
    <w:rsid w:val="006A6BAC"/>
    <w:rsid w:val="006A6C4B"/>
    <w:rsid w:val="006B061B"/>
    <w:rsid w:val="006B324B"/>
    <w:rsid w:val="006B3BA2"/>
    <w:rsid w:val="006B4328"/>
    <w:rsid w:val="006B48AA"/>
    <w:rsid w:val="006B52BB"/>
    <w:rsid w:val="006B5796"/>
    <w:rsid w:val="006B5D67"/>
    <w:rsid w:val="006B5DE3"/>
    <w:rsid w:val="006B61E1"/>
    <w:rsid w:val="006B6F8A"/>
    <w:rsid w:val="006B7E9B"/>
    <w:rsid w:val="006C0EFB"/>
    <w:rsid w:val="006C160A"/>
    <w:rsid w:val="006C1C39"/>
    <w:rsid w:val="006C20B1"/>
    <w:rsid w:val="006C27FC"/>
    <w:rsid w:val="006C2952"/>
    <w:rsid w:val="006C2D92"/>
    <w:rsid w:val="006C3358"/>
    <w:rsid w:val="006C4980"/>
    <w:rsid w:val="006C5E81"/>
    <w:rsid w:val="006C6127"/>
    <w:rsid w:val="006C6829"/>
    <w:rsid w:val="006C7BB8"/>
    <w:rsid w:val="006D0549"/>
    <w:rsid w:val="006D0A10"/>
    <w:rsid w:val="006D0D0D"/>
    <w:rsid w:val="006D2479"/>
    <w:rsid w:val="006D33FF"/>
    <w:rsid w:val="006D3A24"/>
    <w:rsid w:val="006D3B71"/>
    <w:rsid w:val="006D52F4"/>
    <w:rsid w:val="006D5E73"/>
    <w:rsid w:val="006D5F50"/>
    <w:rsid w:val="006D6450"/>
    <w:rsid w:val="006D6B3E"/>
    <w:rsid w:val="006D6E4B"/>
    <w:rsid w:val="006D702A"/>
    <w:rsid w:val="006D7B32"/>
    <w:rsid w:val="006D7DFD"/>
    <w:rsid w:val="006D7F36"/>
    <w:rsid w:val="006E0036"/>
    <w:rsid w:val="006E009C"/>
    <w:rsid w:val="006E0273"/>
    <w:rsid w:val="006E2BA8"/>
    <w:rsid w:val="006E367C"/>
    <w:rsid w:val="006E449A"/>
    <w:rsid w:val="006E4D44"/>
    <w:rsid w:val="006E4F72"/>
    <w:rsid w:val="006E5D86"/>
    <w:rsid w:val="006E5E16"/>
    <w:rsid w:val="006E6CC6"/>
    <w:rsid w:val="006E6CF9"/>
    <w:rsid w:val="006E6DEA"/>
    <w:rsid w:val="006F00A2"/>
    <w:rsid w:val="006F2B20"/>
    <w:rsid w:val="006F3780"/>
    <w:rsid w:val="006F3B1B"/>
    <w:rsid w:val="006F49BF"/>
    <w:rsid w:val="006F533B"/>
    <w:rsid w:val="006F6E19"/>
    <w:rsid w:val="00700884"/>
    <w:rsid w:val="00700CF3"/>
    <w:rsid w:val="0070105D"/>
    <w:rsid w:val="00701D31"/>
    <w:rsid w:val="00703068"/>
    <w:rsid w:val="007031CA"/>
    <w:rsid w:val="00704909"/>
    <w:rsid w:val="00704D0F"/>
    <w:rsid w:val="00704F8C"/>
    <w:rsid w:val="00705426"/>
    <w:rsid w:val="007058F2"/>
    <w:rsid w:val="00705CF3"/>
    <w:rsid w:val="007067F1"/>
    <w:rsid w:val="00707B80"/>
    <w:rsid w:val="00710CFC"/>
    <w:rsid w:val="00710D1F"/>
    <w:rsid w:val="007117F8"/>
    <w:rsid w:val="00711FD2"/>
    <w:rsid w:val="0071238F"/>
    <w:rsid w:val="00712933"/>
    <w:rsid w:val="007130C7"/>
    <w:rsid w:val="007143B0"/>
    <w:rsid w:val="00715EDF"/>
    <w:rsid w:val="0071645D"/>
    <w:rsid w:val="00721C45"/>
    <w:rsid w:val="00722193"/>
    <w:rsid w:val="00723530"/>
    <w:rsid w:val="0072381C"/>
    <w:rsid w:val="00723C04"/>
    <w:rsid w:val="00724ED9"/>
    <w:rsid w:val="00725369"/>
    <w:rsid w:val="00725810"/>
    <w:rsid w:val="0072675C"/>
    <w:rsid w:val="00726C70"/>
    <w:rsid w:val="007303ED"/>
    <w:rsid w:val="00730BA0"/>
    <w:rsid w:val="00732164"/>
    <w:rsid w:val="007329FF"/>
    <w:rsid w:val="0073445B"/>
    <w:rsid w:val="0073471F"/>
    <w:rsid w:val="00734D75"/>
    <w:rsid w:val="0073588C"/>
    <w:rsid w:val="007363A1"/>
    <w:rsid w:val="00736F14"/>
    <w:rsid w:val="007375EA"/>
    <w:rsid w:val="007406B0"/>
    <w:rsid w:val="0074113D"/>
    <w:rsid w:val="00741A8A"/>
    <w:rsid w:val="00741D4B"/>
    <w:rsid w:val="007429EE"/>
    <w:rsid w:val="00742AB7"/>
    <w:rsid w:val="0074346F"/>
    <w:rsid w:val="00743605"/>
    <w:rsid w:val="00744CF9"/>
    <w:rsid w:val="00745699"/>
    <w:rsid w:val="00745F4E"/>
    <w:rsid w:val="0074606B"/>
    <w:rsid w:val="00746264"/>
    <w:rsid w:val="00746806"/>
    <w:rsid w:val="00746D28"/>
    <w:rsid w:val="0074797A"/>
    <w:rsid w:val="00750600"/>
    <w:rsid w:val="00751B67"/>
    <w:rsid w:val="00751EBC"/>
    <w:rsid w:val="007530DF"/>
    <w:rsid w:val="00754132"/>
    <w:rsid w:val="007547D4"/>
    <w:rsid w:val="0075499D"/>
    <w:rsid w:val="00754C2A"/>
    <w:rsid w:val="007550A7"/>
    <w:rsid w:val="0075532F"/>
    <w:rsid w:val="00755D99"/>
    <w:rsid w:val="0075647D"/>
    <w:rsid w:val="007578BD"/>
    <w:rsid w:val="00760B2A"/>
    <w:rsid w:val="00760E7F"/>
    <w:rsid w:val="00761E7B"/>
    <w:rsid w:val="0076278E"/>
    <w:rsid w:val="0076323B"/>
    <w:rsid w:val="00765A4A"/>
    <w:rsid w:val="00765AF6"/>
    <w:rsid w:val="007673D6"/>
    <w:rsid w:val="00767C00"/>
    <w:rsid w:val="00770B64"/>
    <w:rsid w:val="007710D8"/>
    <w:rsid w:val="007729CD"/>
    <w:rsid w:val="00772AF8"/>
    <w:rsid w:val="00773635"/>
    <w:rsid w:val="00773E1D"/>
    <w:rsid w:val="00774231"/>
    <w:rsid w:val="007742E2"/>
    <w:rsid w:val="0077449E"/>
    <w:rsid w:val="00775027"/>
    <w:rsid w:val="0077521B"/>
    <w:rsid w:val="007755D2"/>
    <w:rsid w:val="007758C4"/>
    <w:rsid w:val="00775D28"/>
    <w:rsid w:val="0077675F"/>
    <w:rsid w:val="00776ED6"/>
    <w:rsid w:val="00776FED"/>
    <w:rsid w:val="007772CA"/>
    <w:rsid w:val="00777350"/>
    <w:rsid w:val="00780387"/>
    <w:rsid w:val="00780786"/>
    <w:rsid w:val="00781165"/>
    <w:rsid w:val="007816A9"/>
    <w:rsid w:val="00783435"/>
    <w:rsid w:val="007845F4"/>
    <w:rsid w:val="00784603"/>
    <w:rsid w:val="00784826"/>
    <w:rsid w:val="00784DE0"/>
    <w:rsid w:val="0078570E"/>
    <w:rsid w:val="00785B10"/>
    <w:rsid w:val="007863DA"/>
    <w:rsid w:val="007866D7"/>
    <w:rsid w:val="00786B41"/>
    <w:rsid w:val="00786FF4"/>
    <w:rsid w:val="007918BB"/>
    <w:rsid w:val="007922D7"/>
    <w:rsid w:val="00792501"/>
    <w:rsid w:val="00792540"/>
    <w:rsid w:val="007930F5"/>
    <w:rsid w:val="0079417A"/>
    <w:rsid w:val="007942F1"/>
    <w:rsid w:val="0079489F"/>
    <w:rsid w:val="00797573"/>
    <w:rsid w:val="007A0566"/>
    <w:rsid w:val="007A0933"/>
    <w:rsid w:val="007A102E"/>
    <w:rsid w:val="007A1507"/>
    <w:rsid w:val="007A1F76"/>
    <w:rsid w:val="007A2359"/>
    <w:rsid w:val="007A25FF"/>
    <w:rsid w:val="007A290E"/>
    <w:rsid w:val="007A3F0C"/>
    <w:rsid w:val="007A44C0"/>
    <w:rsid w:val="007A4C69"/>
    <w:rsid w:val="007A4EA2"/>
    <w:rsid w:val="007A53CB"/>
    <w:rsid w:val="007A54A0"/>
    <w:rsid w:val="007A59E2"/>
    <w:rsid w:val="007A7628"/>
    <w:rsid w:val="007A7906"/>
    <w:rsid w:val="007B3633"/>
    <w:rsid w:val="007B3FE4"/>
    <w:rsid w:val="007B4B63"/>
    <w:rsid w:val="007B59A6"/>
    <w:rsid w:val="007B706F"/>
    <w:rsid w:val="007B7AA9"/>
    <w:rsid w:val="007C1EB7"/>
    <w:rsid w:val="007C2107"/>
    <w:rsid w:val="007C2234"/>
    <w:rsid w:val="007C2507"/>
    <w:rsid w:val="007C2A39"/>
    <w:rsid w:val="007C2BCF"/>
    <w:rsid w:val="007C44F8"/>
    <w:rsid w:val="007C506D"/>
    <w:rsid w:val="007C5EAC"/>
    <w:rsid w:val="007C7E1F"/>
    <w:rsid w:val="007C7E9A"/>
    <w:rsid w:val="007D0501"/>
    <w:rsid w:val="007D0D43"/>
    <w:rsid w:val="007D2142"/>
    <w:rsid w:val="007D456B"/>
    <w:rsid w:val="007D4F8E"/>
    <w:rsid w:val="007D54F8"/>
    <w:rsid w:val="007D5852"/>
    <w:rsid w:val="007D6018"/>
    <w:rsid w:val="007D7155"/>
    <w:rsid w:val="007D79FD"/>
    <w:rsid w:val="007D7A21"/>
    <w:rsid w:val="007E06E0"/>
    <w:rsid w:val="007E13AC"/>
    <w:rsid w:val="007E1872"/>
    <w:rsid w:val="007E2425"/>
    <w:rsid w:val="007E2AA5"/>
    <w:rsid w:val="007E2B67"/>
    <w:rsid w:val="007E5738"/>
    <w:rsid w:val="007E5BC6"/>
    <w:rsid w:val="007E5D61"/>
    <w:rsid w:val="007E6AF1"/>
    <w:rsid w:val="007E7187"/>
    <w:rsid w:val="007E766A"/>
    <w:rsid w:val="007F0432"/>
    <w:rsid w:val="007F0626"/>
    <w:rsid w:val="007F29F5"/>
    <w:rsid w:val="007F2E81"/>
    <w:rsid w:val="007F3109"/>
    <w:rsid w:val="007F33CC"/>
    <w:rsid w:val="007F3796"/>
    <w:rsid w:val="007F4045"/>
    <w:rsid w:val="007F433B"/>
    <w:rsid w:val="007F48C5"/>
    <w:rsid w:val="007F5E48"/>
    <w:rsid w:val="007F6040"/>
    <w:rsid w:val="007F648D"/>
    <w:rsid w:val="007F66FA"/>
    <w:rsid w:val="007F78D7"/>
    <w:rsid w:val="007F7EAB"/>
    <w:rsid w:val="008000DF"/>
    <w:rsid w:val="0080187D"/>
    <w:rsid w:val="00802042"/>
    <w:rsid w:val="008024AE"/>
    <w:rsid w:val="0080254A"/>
    <w:rsid w:val="008026D2"/>
    <w:rsid w:val="00802C74"/>
    <w:rsid w:val="00802F65"/>
    <w:rsid w:val="0080348C"/>
    <w:rsid w:val="008039F7"/>
    <w:rsid w:val="008068A1"/>
    <w:rsid w:val="00807A74"/>
    <w:rsid w:val="00807CD0"/>
    <w:rsid w:val="00807E3C"/>
    <w:rsid w:val="00811717"/>
    <w:rsid w:val="00811C1C"/>
    <w:rsid w:val="008121BF"/>
    <w:rsid w:val="00813B7A"/>
    <w:rsid w:val="00814FBF"/>
    <w:rsid w:val="0081553E"/>
    <w:rsid w:val="00815A4E"/>
    <w:rsid w:val="00815B02"/>
    <w:rsid w:val="00816434"/>
    <w:rsid w:val="008168A8"/>
    <w:rsid w:val="008171D9"/>
    <w:rsid w:val="0081791B"/>
    <w:rsid w:val="00817ACE"/>
    <w:rsid w:val="00820143"/>
    <w:rsid w:val="008204E1"/>
    <w:rsid w:val="00820C18"/>
    <w:rsid w:val="00820CF1"/>
    <w:rsid w:val="00820F53"/>
    <w:rsid w:val="008223DC"/>
    <w:rsid w:val="00822AEF"/>
    <w:rsid w:val="00822C14"/>
    <w:rsid w:val="00824193"/>
    <w:rsid w:val="00824914"/>
    <w:rsid w:val="00824DC3"/>
    <w:rsid w:val="00826A7B"/>
    <w:rsid w:val="00826D41"/>
    <w:rsid w:val="008275A4"/>
    <w:rsid w:val="008303CB"/>
    <w:rsid w:val="008327F1"/>
    <w:rsid w:val="008328DE"/>
    <w:rsid w:val="00834313"/>
    <w:rsid w:val="00835399"/>
    <w:rsid w:val="00836265"/>
    <w:rsid w:val="0083655D"/>
    <w:rsid w:val="0084022A"/>
    <w:rsid w:val="008402AD"/>
    <w:rsid w:val="0084047E"/>
    <w:rsid w:val="00840F2C"/>
    <w:rsid w:val="00841357"/>
    <w:rsid w:val="00841B70"/>
    <w:rsid w:val="00842903"/>
    <w:rsid w:val="00843088"/>
    <w:rsid w:val="00844146"/>
    <w:rsid w:val="0084527F"/>
    <w:rsid w:val="00846CD8"/>
    <w:rsid w:val="00846DEC"/>
    <w:rsid w:val="008474E4"/>
    <w:rsid w:val="0084782C"/>
    <w:rsid w:val="00847CBC"/>
    <w:rsid w:val="00847D0C"/>
    <w:rsid w:val="008500DD"/>
    <w:rsid w:val="00850B37"/>
    <w:rsid w:val="00851D2D"/>
    <w:rsid w:val="00852AAC"/>
    <w:rsid w:val="0085359A"/>
    <w:rsid w:val="00854B6C"/>
    <w:rsid w:val="008554AA"/>
    <w:rsid w:val="008558B7"/>
    <w:rsid w:val="008601CB"/>
    <w:rsid w:val="00862E86"/>
    <w:rsid w:val="00863CE9"/>
    <w:rsid w:val="008641A1"/>
    <w:rsid w:val="00864276"/>
    <w:rsid w:val="00864506"/>
    <w:rsid w:val="008658E5"/>
    <w:rsid w:val="00865918"/>
    <w:rsid w:val="00866079"/>
    <w:rsid w:val="008665AC"/>
    <w:rsid w:val="0086672B"/>
    <w:rsid w:val="00866BF4"/>
    <w:rsid w:val="008673CD"/>
    <w:rsid w:val="00870A44"/>
    <w:rsid w:val="0087252A"/>
    <w:rsid w:val="008725A4"/>
    <w:rsid w:val="008726EB"/>
    <w:rsid w:val="008737AE"/>
    <w:rsid w:val="00873AD2"/>
    <w:rsid w:val="00873F16"/>
    <w:rsid w:val="008744C8"/>
    <w:rsid w:val="00874618"/>
    <w:rsid w:val="0087573C"/>
    <w:rsid w:val="0087614F"/>
    <w:rsid w:val="00876BBF"/>
    <w:rsid w:val="00877857"/>
    <w:rsid w:val="00877913"/>
    <w:rsid w:val="008802CA"/>
    <w:rsid w:val="00881382"/>
    <w:rsid w:val="00881E77"/>
    <w:rsid w:val="00882EF2"/>
    <w:rsid w:val="0088308A"/>
    <w:rsid w:val="0088414D"/>
    <w:rsid w:val="0088443E"/>
    <w:rsid w:val="0088645E"/>
    <w:rsid w:val="00887AB0"/>
    <w:rsid w:val="00887D64"/>
    <w:rsid w:val="00887E89"/>
    <w:rsid w:val="00887F66"/>
    <w:rsid w:val="0089146C"/>
    <w:rsid w:val="008915BC"/>
    <w:rsid w:val="00891CCB"/>
    <w:rsid w:val="00891E67"/>
    <w:rsid w:val="008933A0"/>
    <w:rsid w:val="008933AD"/>
    <w:rsid w:val="008947DA"/>
    <w:rsid w:val="0089521C"/>
    <w:rsid w:val="0089531C"/>
    <w:rsid w:val="00895A82"/>
    <w:rsid w:val="00896BEE"/>
    <w:rsid w:val="00896C5A"/>
    <w:rsid w:val="00897280"/>
    <w:rsid w:val="008973F5"/>
    <w:rsid w:val="008974A9"/>
    <w:rsid w:val="008A12A3"/>
    <w:rsid w:val="008A235E"/>
    <w:rsid w:val="008A2D90"/>
    <w:rsid w:val="008A3BC5"/>
    <w:rsid w:val="008A539B"/>
    <w:rsid w:val="008A61EB"/>
    <w:rsid w:val="008A6421"/>
    <w:rsid w:val="008A69CE"/>
    <w:rsid w:val="008A71C9"/>
    <w:rsid w:val="008A7F02"/>
    <w:rsid w:val="008B12C0"/>
    <w:rsid w:val="008B1775"/>
    <w:rsid w:val="008B1F0B"/>
    <w:rsid w:val="008B2789"/>
    <w:rsid w:val="008B3902"/>
    <w:rsid w:val="008B3D94"/>
    <w:rsid w:val="008B40E7"/>
    <w:rsid w:val="008B42A6"/>
    <w:rsid w:val="008B47F9"/>
    <w:rsid w:val="008B4F4D"/>
    <w:rsid w:val="008B5A24"/>
    <w:rsid w:val="008B5E7E"/>
    <w:rsid w:val="008B5FC1"/>
    <w:rsid w:val="008B60EF"/>
    <w:rsid w:val="008B6654"/>
    <w:rsid w:val="008B7D3B"/>
    <w:rsid w:val="008C0D9D"/>
    <w:rsid w:val="008C1240"/>
    <w:rsid w:val="008C16BE"/>
    <w:rsid w:val="008C1A18"/>
    <w:rsid w:val="008C289F"/>
    <w:rsid w:val="008C3226"/>
    <w:rsid w:val="008C3237"/>
    <w:rsid w:val="008C3FB0"/>
    <w:rsid w:val="008C42A3"/>
    <w:rsid w:val="008C4E8D"/>
    <w:rsid w:val="008C7020"/>
    <w:rsid w:val="008C7365"/>
    <w:rsid w:val="008C74B2"/>
    <w:rsid w:val="008C7AE7"/>
    <w:rsid w:val="008D0323"/>
    <w:rsid w:val="008D05AF"/>
    <w:rsid w:val="008D1AB4"/>
    <w:rsid w:val="008D5069"/>
    <w:rsid w:val="008D6257"/>
    <w:rsid w:val="008D72D4"/>
    <w:rsid w:val="008D7536"/>
    <w:rsid w:val="008D7749"/>
    <w:rsid w:val="008D7834"/>
    <w:rsid w:val="008E0AC8"/>
    <w:rsid w:val="008E1630"/>
    <w:rsid w:val="008E1A47"/>
    <w:rsid w:val="008E1CD9"/>
    <w:rsid w:val="008E26CB"/>
    <w:rsid w:val="008E34F8"/>
    <w:rsid w:val="008E3B26"/>
    <w:rsid w:val="008E4913"/>
    <w:rsid w:val="008E5241"/>
    <w:rsid w:val="008E66F2"/>
    <w:rsid w:val="008E69A6"/>
    <w:rsid w:val="008E7CF6"/>
    <w:rsid w:val="008E7DA5"/>
    <w:rsid w:val="008F0565"/>
    <w:rsid w:val="008F0EC5"/>
    <w:rsid w:val="008F2609"/>
    <w:rsid w:val="008F364C"/>
    <w:rsid w:val="008F3885"/>
    <w:rsid w:val="008F3DE9"/>
    <w:rsid w:val="008F3F92"/>
    <w:rsid w:val="008F700B"/>
    <w:rsid w:val="009001B9"/>
    <w:rsid w:val="0090175E"/>
    <w:rsid w:val="009038D1"/>
    <w:rsid w:val="009038E4"/>
    <w:rsid w:val="00904563"/>
    <w:rsid w:val="009051BE"/>
    <w:rsid w:val="009053AA"/>
    <w:rsid w:val="009055BF"/>
    <w:rsid w:val="009056A9"/>
    <w:rsid w:val="0090688B"/>
    <w:rsid w:val="00906A90"/>
    <w:rsid w:val="00906D7E"/>
    <w:rsid w:val="00906E31"/>
    <w:rsid w:val="00906FA1"/>
    <w:rsid w:val="009073D8"/>
    <w:rsid w:val="00910242"/>
    <w:rsid w:val="009112D8"/>
    <w:rsid w:val="0091137C"/>
    <w:rsid w:val="009117B8"/>
    <w:rsid w:val="00911FED"/>
    <w:rsid w:val="00912459"/>
    <w:rsid w:val="00912A35"/>
    <w:rsid w:val="00913098"/>
    <w:rsid w:val="009134D6"/>
    <w:rsid w:val="00914486"/>
    <w:rsid w:val="00914822"/>
    <w:rsid w:val="00914D5F"/>
    <w:rsid w:val="00915D85"/>
    <w:rsid w:val="009165B5"/>
    <w:rsid w:val="0092018D"/>
    <w:rsid w:val="00920880"/>
    <w:rsid w:val="00922772"/>
    <w:rsid w:val="00923099"/>
    <w:rsid w:val="00923AB8"/>
    <w:rsid w:val="00924AED"/>
    <w:rsid w:val="00925771"/>
    <w:rsid w:val="00925E4B"/>
    <w:rsid w:val="009263BB"/>
    <w:rsid w:val="00926440"/>
    <w:rsid w:val="00926A16"/>
    <w:rsid w:val="009272F4"/>
    <w:rsid w:val="009276B7"/>
    <w:rsid w:val="009320D0"/>
    <w:rsid w:val="009322E3"/>
    <w:rsid w:val="009323A9"/>
    <w:rsid w:val="00932BBE"/>
    <w:rsid w:val="00933528"/>
    <w:rsid w:val="00933FD7"/>
    <w:rsid w:val="00934E49"/>
    <w:rsid w:val="00935DB7"/>
    <w:rsid w:val="00936525"/>
    <w:rsid w:val="00937C75"/>
    <w:rsid w:val="00937CE1"/>
    <w:rsid w:val="0094035C"/>
    <w:rsid w:val="009420B1"/>
    <w:rsid w:val="00942158"/>
    <w:rsid w:val="0094267E"/>
    <w:rsid w:val="009438EE"/>
    <w:rsid w:val="009439E6"/>
    <w:rsid w:val="009445F5"/>
    <w:rsid w:val="009446F2"/>
    <w:rsid w:val="00944BF4"/>
    <w:rsid w:val="009456BE"/>
    <w:rsid w:val="00945A55"/>
    <w:rsid w:val="009465B7"/>
    <w:rsid w:val="009472F8"/>
    <w:rsid w:val="0094792A"/>
    <w:rsid w:val="00947A57"/>
    <w:rsid w:val="00950DBB"/>
    <w:rsid w:val="00951C66"/>
    <w:rsid w:val="00952D73"/>
    <w:rsid w:val="00952F02"/>
    <w:rsid w:val="009548AD"/>
    <w:rsid w:val="00955798"/>
    <w:rsid w:val="009563C8"/>
    <w:rsid w:val="0095694B"/>
    <w:rsid w:val="00957A98"/>
    <w:rsid w:val="0096012E"/>
    <w:rsid w:val="00960288"/>
    <w:rsid w:val="0096059D"/>
    <w:rsid w:val="00960EB5"/>
    <w:rsid w:val="009610F8"/>
    <w:rsid w:val="00962652"/>
    <w:rsid w:val="00962A22"/>
    <w:rsid w:val="00964C4D"/>
    <w:rsid w:val="00965F69"/>
    <w:rsid w:val="009667F8"/>
    <w:rsid w:val="00966AF2"/>
    <w:rsid w:val="00966CF1"/>
    <w:rsid w:val="00966EF7"/>
    <w:rsid w:val="009676ED"/>
    <w:rsid w:val="0096780F"/>
    <w:rsid w:val="009706F1"/>
    <w:rsid w:val="00971FB5"/>
    <w:rsid w:val="00972269"/>
    <w:rsid w:val="0097235A"/>
    <w:rsid w:val="00973EF6"/>
    <w:rsid w:val="00973F86"/>
    <w:rsid w:val="009748AA"/>
    <w:rsid w:val="009749FB"/>
    <w:rsid w:val="00974F48"/>
    <w:rsid w:val="00975768"/>
    <w:rsid w:val="00975C70"/>
    <w:rsid w:val="00976D0C"/>
    <w:rsid w:val="0097757F"/>
    <w:rsid w:val="00977AB4"/>
    <w:rsid w:val="00980748"/>
    <w:rsid w:val="009809B3"/>
    <w:rsid w:val="00980D0C"/>
    <w:rsid w:val="00981ABD"/>
    <w:rsid w:val="00981DE0"/>
    <w:rsid w:val="00982353"/>
    <w:rsid w:val="009825BC"/>
    <w:rsid w:val="009825F8"/>
    <w:rsid w:val="00983832"/>
    <w:rsid w:val="00983F02"/>
    <w:rsid w:val="00984FB6"/>
    <w:rsid w:val="00986991"/>
    <w:rsid w:val="00987182"/>
    <w:rsid w:val="0099171C"/>
    <w:rsid w:val="0099326A"/>
    <w:rsid w:val="00993502"/>
    <w:rsid w:val="00994025"/>
    <w:rsid w:val="00994970"/>
    <w:rsid w:val="00994B40"/>
    <w:rsid w:val="0099542D"/>
    <w:rsid w:val="009965F4"/>
    <w:rsid w:val="00997A9C"/>
    <w:rsid w:val="00997C60"/>
    <w:rsid w:val="009A0C33"/>
    <w:rsid w:val="009A2FD5"/>
    <w:rsid w:val="009A301F"/>
    <w:rsid w:val="009A35D3"/>
    <w:rsid w:val="009A3978"/>
    <w:rsid w:val="009A3FCE"/>
    <w:rsid w:val="009A464A"/>
    <w:rsid w:val="009A49F1"/>
    <w:rsid w:val="009A5098"/>
    <w:rsid w:val="009A7A16"/>
    <w:rsid w:val="009B06FE"/>
    <w:rsid w:val="009B16C6"/>
    <w:rsid w:val="009B1C8C"/>
    <w:rsid w:val="009B1FD1"/>
    <w:rsid w:val="009B2105"/>
    <w:rsid w:val="009B2821"/>
    <w:rsid w:val="009B2BE7"/>
    <w:rsid w:val="009B333A"/>
    <w:rsid w:val="009B35E9"/>
    <w:rsid w:val="009B384F"/>
    <w:rsid w:val="009B3AE8"/>
    <w:rsid w:val="009B3E41"/>
    <w:rsid w:val="009B4114"/>
    <w:rsid w:val="009B42A3"/>
    <w:rsid w:val="009B5984"/>
    <w:rsid w:val="009B59AC"/>
    <w:rsid w:val="009B5EAC"/>
    <w:rsid w:val="009B64AE"/>
    <w:rsid w:val="009B66AE"/>
    <w:rsid w:val="009C0830"/>
    <w:rsid w:val="009C16E3"/>
    <w:rsid w:val="009C1A65"/>
    <w:rsid w:val="009C1E3D"/>
    <w:rsid w:val="009C1E9A"/>
    <w:rsid w:val="009C288B"/>
    <w:rsid w:val="009C3D38"/>
    <w:rsid w:val="009C40E7"/>
    <w:rsid w:val="009C46F5"/>
    <w:rsid w:val="009C6118"/>
    <w:rsid w:val="009C6434"/>
    <w:rsid w:val="009C64A7"/>
    <w:rsid w:val="009C6997"/>
    <w:rsid w:val="009D0228"/>
    <w:rsid w:val="009D072E"/>
    <w:rsid w:val="009D07A6"/>
    <w:rsid w:val="009D091B"/>
    <w:rsid w:val="009D2360"/>
    <w:rsid w:val="009D24B4"/>
    <w:rsid w:val="009D2F8D"/>
    <w:rsid w:val="009D44D7"/>
    <w:rsid w:val="009D56FD"/>
    <w:rsid w:val="009D6101"/>
    <w:rsid w:val="009D6368"/>
    <w:rsid w:val="009D6666"/>
    <w:rsid w:val="009D6D06"/>
    <w:rsid w:val="009D6D50"/>
    <w:rsid w:val="009D7388"/>
    <w:rsid w:val="009D7B71"/>
    <w:rsid w:val="009D7D4D"/>
    <w:rsid w:val="009E0466"/>
    <w:rsid w:val="009E08EE"/>
    <w:rsid w:val="009E0992"/>
    <w:rsid w:val="009E1392"/>
    <w:rsid w:val="009E181C"/>
    <w:rsid w:val="009E2B46"/>
    <w:rsid w:val="009E3FAA"/>
    <w:rsid w:val="009E4C2F"/>
    <w:rsid w:val="009E7826"/>
    <w:rsid w:val="009F3D4E"/>
    <w:rsid w:val="009F4140"/>
    <w:rsid w:val="009F53EE"/>
    <w:rsid w:val="009F5BEE"/>
    <w:rsid w:val="009F5E25"/>
    <w:rsid w:val="009F65BA"/>
    <w:rsid w:val="009F673E"/>
    <w:rsid w:val="009F6A07"/>
    <w:rsid w:val="00A00369"/>
    <w:rsid w:val="00A00FF9"/>
    <w:rsid w:val="00A02944"/>
    <w:rsid w:val="00A04163"/>
    <w:rsid w:val="00A04932"/>
    <w:rsid w:val="00A04DC7"/>
    <w:rsid w:val="00A06D0B"/>
    <w:rsid w:val="00A06D2D"/>
    <w:rsid w:val="00A07020"/>
    <w:rsid w:val="00A07045"/>
    <w:rsid w:val="00A07BE5"/>
    <w:rsid w:val="00A07F54"/>
    <w:rsid w:val="00A10F67"/>
    <w:rsid w:val="00A110A7"/>
    <w:rsid w:val="00A122BB"/>
    <w:rsid w:val="00A13AED"/>
    <w:rsid w:val="00A14473"/>
    <w:rsid w:val="00A15294"/>
    <w:rsid w:val="00A16240"/>
    <w:rsid w:val="00A1676E"/>
    <w:rsid w:val="00A1683F"/>
    <w:rsid w:val="00A168BA"/>
    <w:rsid w:val="00A16E01"/>
    <w:rsid w:val="00A17A0D"/>
    <w:rsid w:val="00A17B83"/>
    <w:rsid w:val="00A17D56"/>
    <w:rsid w:val="00A20465"/>
    <w:rsid w:val="00A209F4"/>
    <w:rsid w:val="00A210DB"/>
    <w:rsid w:val="00A22CF1"/>
    <w:rsid w:val="00A22E89"/>
    <w:rsid w:val="00A2361D"/>
    <w:rsid w:val="00A24BEB"/>
    <w:rsid w:val="00A24C0E"/>
    <w:rsid w:val="00A25CD2"/>
    <w:rsid w:val="00A26107"/>
    <w:rsid w:val="00A263F8"/>
    <w:rsid w:val="00A26918"/>
    <w:rsid w:val="00A26B04"/>
    <w:rsid w:val="00A27BD9"/>
    <w:rsid w:val="00A27EC9"/>
    <w:rsid w:val="00A300E3"/>
    <w:rsid w:val="00A303EB"/>
    <w:rsid w:val="00A30DAB"/>
    <w:rsid w:val="00A315C6"/>
    <w:rsid w:val="00A3284B"/>
    <w:rsid w:val="00A32A39"/>
    <w:rsid w:val="00A32C91"/>
    <w:rsid w:val="00A338C9"/>
    <w:rsid w:val="00A34C26"/>
    <w:rsid w:val="00A35496"/>
    <w:rsid w:val="00A355AA"/>
    <w:rsid w:val="00A358D9"/>
    <w:rsid w:val="00A35B67"/>
    <w:rsid w:val="00A36C42"/>
    <w:rsid w:val="00A37407"/>
    <w:rsid w:val="00A378BB"/>
    <w:rsid w:val="00A40E12"/>
    <w:rsid w:val="00A40ED3"/>
    <w:rsid w:val="00A41EF0"/>
    <w:rsid w:val="00A427C8"/>
    <w:rsid w:val="00A42B48"/>
    <w:rsid w:val="00A43B09"/>
    <w:rsid w:val="00A441BF"/>
    <w:rsid w:val="00A44E72"/>
    <w:rsid w:val="00A464CF"/>
    <w:rsid w:val="00A46AAE"/>
    <w:rsid w:val="00A47A65"/>
    <w:rsid w:val="00A47BBE"/>
    <w:rsid w:val="00A514DE"/>
    <w:rsid w:val="00A515A0"/>
    <w:rsid w:val="00A51C74"/>
    <w:rsid w:val="00A51F6E"/>
    <w:rsid w:val="00A52D26"/>
    <w:rsid w:val="00A53BAA"/>
    <w:rsid w:val="00A53D2F"/>
    <w:rsid w:val="00A54ABA"/>
    <w:rsid w:val="00A54C70"/>
    <w:rsid w:val="00A55D41"/>
    <w:rsid w:val="00A56F38"/>
    <w:rsid w:val="00A57360"/>
    <w:rsid w:val="00A5742D"/>
    <w:rsid w:val="00A60309"/>
    <w:rsid w:val="00A6031C"/>
    <w:rsid w:val="00A61B5B"/>
    <w:rsid w:val="00A627F6"/>
    <w:rsid w:val="00A6284E"/>
    <w:rsid w:val="00A62AFD"/>
    <w:rsid w:val="00A62B56"/>
    <w:rsid w:val="00A62C75"/>
    <w:rsid w:val="00A63B81"/>
    <w:rsid w:val="00A63C4B"/>
    <w:rsid w:val="00A64DB6"/>
    <w:rsid w:val="00A65C01"/>
    <w:rsid w:val="00A65D38"/>
    <w:rsid w:val="00A66CB8"/>
    <w:rsid w:val="00A71728"/>
    <w:rsid w:val="00A71973"/>
    <w:rsid w:val="00A727FB"/>
    <w:rsid w:val="00A7396A"/>
    <w:rsid w:val="00A7396B"/>
    <w:rsid w:val="00A73C08"/>
    <w:rsid w:val="00A73CA3"/>
    <w:rsid w:val="00A7442A"/>
    <w:rsid w:val="00A7509C"/>
    <w:rsid w:val="00A75192"/>
    <w:rsid w:val="00A75635"/>
    <w:rsid w:val="00A75F7B"/>
    <w:rsid w:val="00A76AE9"/>
    <w:rsid w:val="00A77613"/>
    <w:rsid w:val="00A801FB"/>
    <w:rsid w:val="00A802D3"/>
    <w:rsid w:val="00A8034C"/>
    <w:rsid w:val="00A8064D"/>
    <w:rsid w:val="00A806F9"/>
    <w:rsid w:val="00A81F32"/>
    <w:rsid w:val="00A83005"/>
    <w:rsid w:val="00A84C47"/>
    <w:rsid w:val="00A84DD5"/>
    <w:rsid w:val="00A857F4"/>
    <w:rsid w:val="00A85C7B"/>
    <w:rsid w:val="00A85D05"/>
    <w:rsid w:val="00A869AF"/>
    <w:rsid w:val="00A878E4"/>
    <w:rsid w:val="00A914B6"/>
    <w:rsid w:val="00A92307"/>
    <w:rsid w:val="00A9309A"/>
    <w:rsid w:val="00A932CA"/>
    <w:rsid w:val="00A934A9"/>
    <w:rsid w:val="00A93768"/>
    <w:rsid w:val="00A945AC"/>
    <w:rsid w:val="00A95333"/>
    <w:rsid w:val="00A95E31"/>
    <w:rsid w:val="00A96E7E"/>
    <w:rsid w:val="00A97503"/>
    <w:rsid w:val="00A97D4E"/>
    <w:rsid w:val="00AA045A"/>
    <w:rsid w:val="00AA050C"/>
    <w:rsid w:val="00AA13C6"/>
    <w:rsid w:val="00AA1C3F"/>
    <w:rsid w:val="00AA1EE0"/>
    <w:rsid w:val="00AA3956"/>
    <w:rsid w:val="00AA439C"/>
    <w:rsid w:val="00AA4E3A"/>
    <w:rsid w:val="00AA620D"/>
    <w:rsid w:val="00AA67CA"/>
    <w:rsid w:val="00AB112D"/>
    <w:rsid w:val="00AB2A16"/>
    <w:rsid w:val="00AB31CC"/>
    <w:rsid w:val="00AB337C"/>
    <w:rsid w:val="00AB36E8"/>
    <w:rsid w:val="00AB3BDB"/>
    <w:rsid w:val="00AB422D"/>
    <w:rsid w:val="00AB4F48"/>
    <w:rsid w:val="00AB5399"/>
    <w:rsid w:val="00AB5949"/>
    <w:rsid w:val="00AB693E"/>
    <w:rsid w:val="00AB69FF"/>
    <w:rsid w:val="00AC1D75"/>
    <w:rsid w:val="00AC2C2B"/>
    <w:rsid w:val="00AC2E7F"/>
    <w:rsid w:val="00AC34B3"/>
    <w:rsid w:val="00AC3C47"/>
    <w:rsid w:val="00AC3F56"/>
    <w:rsid w:val="00AC4217"/>
    <w:rsid w:val="00AC5D45"/>
    <w:rsid w:val="00AC7F05"/>
    <w:rsid w:val="00AD0101"/>
    <w:rsid w:val="00AD11BA"/>
    <w:rsid w:val="00AD2564"/>
    <w:rsid w:val="00AD2E2D"/>
    <w:rsid w:val="00AD3575"/>
    <w:rsid w:val="00AD35E9"/>
    <w:rsid w:val="00AD38EF"/>
    <w:rsid w:val="00AD3AD0"/>
    <w:rsid w:val="00AD43E1"/>
    <w:rsid w:val="00AD451E"/>
    <w:rsid w:val="00AD4F7B"/>
    <w:rsid w:val="00AD5C35"/>
    <w:rsid w:val="00AD6B79"/>
    <w:rsid w:val="00AD6C63"/>
    <w:rsid w:val="00AD6F14"/>
    <w:rsid w:val="00AD7EF2"/>
    <w:rsid w:val="00AE1250"/>
    <w:rsid w:val="00AE12EE"/>
    <w:rsid w:val="00AE144B"/>
    <w:rsid w:val="00AE1584"/>
    <w:rsid w:val="00AE2EB9"/>
    <w:rsid w:val="00AE2EF8"/>
    <w:rsid w:val="00AE376D"/>
    <w:rsid w:val="00AE45BD"/>
    <w:rsid w:val="00AE4675"/>
    <w:rsid w:val="00AE4A9B"/>
    <w:rsid w:val="00AE5163"/>
    <w:rsid w:val="00AE52BA"/>
    <w:rsid w:val="00AE600B"/>
    <w:rsid w:val="00AE646A"/>
    <w:rsid w:val="00AE7658"/>
    <w:rsid w:val="00AE7B7C"/>
    <w:rsid w:val="00AE7E34"/>
    <w:rsid w:val="00AE7FD1"/>
    <w:rsid w:val="00AF0BB8"/>
    <w:rsid w:val="00AF117B"/>
    <w:rsid w:val="00AF2A55"/>
    <w:rsid w:val="00AF359E"/>
    <w:rsid w:val="00AF3E63"/>
    <w:rsid w:val="00AF41FC"/>
    <w:rsid w:val="00AF468B"/>
    <w:rsid w:val="00AF4A1B"/>
    <w:rsid w:val="00AF4AE9"/>
    <w:rsid w:val="00AF5848"/>
    <w:rsid w:val="00AF6262"/>
    <w:rsid w:val="00AF6D9A"/>
    <w:rsid w:val="00AF7307"/>
    <w:rsid w:val="00AF7766"/>
    <w:rsid w:val="00AF7AC5"/>
    <w:rsid w:val="00AF7BD2"/>
    <w:rsid w:val="00AF7D2A"/>
    <w:rsid w:val="00B007DE"/>
    <w:rsid w:val="00B00CED"/>
    <w:rsid w:val="00B01899"/>
    <w:rsid w:val="00B019C8"/>
    <w:rsid w:val="00B01BEB"/>
    <w:rsid w:val="00B0271C"/>
    <w:rsid w:val="00B030D6"/>
    <w:rsid w:val="00B0376B"/>
    <w:rsid w:val="00B0434C"/>
    <w:rsid w:val="00B04A16"/>
    <w:rsid w:val="00B04E56"/>
    <w:rsid w:val="00B057DA"/>
    <w:rsid w:val="00B05B42"/>
    <w:rsid w:val="00B05D54"/>
    <w:rsid w:val="00B0670F"/>
    <w:rsid w:val="00B06C89"/>
    <w:rsid w:val="00B0712D"/>
    <w:rsid w:val="00B072E2"/>
    <w:rsid w:val="00B07688"/>
    <w:rsid w:val="00B07910"/>
    <w:rsid w:val="00B07B0A"/>
    <w:rsid w:val="00B116E5"/>
    <w:rsid w:val="00B11879"/>
    <w:rsid w:val="00B11A86"/>
    <w:rsid w:val="00B12227"/>
    <w:rsid w:val="00B128A8"/>
    <w:rsid w:val="00B134D4"/>
    <w:rsid w:val="00B14491"/>
    <w:rsid w:val="00B1456C"/>
    <w:rsid w:val="00B15AFB"/>
    <w:rsid w:val="00B16A4C"/>
    <w:rsid w:val="00B17240"/>
    <w:rsid w:val="00B17742"/>
    <w:rsid w:val="00B20317"/>
    <w:rsid w:val="00B22120"/>
    <w:rsid w:val="00B23B9B"/>
    <w:rsid w:val="00B240FC"/>
    <w:rsid w:val="00B2445A"/>
    <w:rsid w:val="00B24FD2"/>
    <w:rsid w:val="00B26125"/>
    <w:rsid w:val="00B263E5"/>
    <w:rsid w:val="00B2724A"/>
    <w:rsid w:val="00B27911"/>
    <w:rsid w:val="00B3015C"/>
    <w:rsid w:val="00B30403"/>
    <w:rsid w:val="00B30678"/>
    <w:rsid w:val="00B3172C"/>
    <w:rsid w:val="00B322A5"/>
    <w:rsid w:val="00B32320"/>
    <w:rsid w:val="00B32B3F"/>
    <w:rsid w:val="00B33A37"/>
    <w:rsid w:val="00B33EA9"/>
    <w:rsid w:val="00B3431F"/>
    <w:rsid w:val="00B35014"/>
    <w:rsid w:val="00B3517A"/>
    <w:rsid w:val="00B35943"/>
    <w:rsid w:val="00B359EC"/>
    <w:rsid w:val="00B35B19"/>
    <w:rsid w:val="00B35BDC"/>
    <w:rsid w:val="00B35FB7"/>
    <w:rsid w:val="00B3607A"/>
    <w:rsid w:val="00B36846"/>
    <w:rsid w:val="00B402A6"/>
    <w:rsid w:val="00B40BFD"/>
    <w:rsid w:val="00B40D61"/>
    <w:rsid w:val="00B41828"/>
    <w:rsid w:val="00B423C8"/>
    <w:rsid w:val="00B42B19"/>
    <w:rsid w:val="00B4408A"/>
    <w:rsid w:val="00B4460E"/>
    <w:rsid w:val="00B4468D"/>
    <w:rsid w:val="00B449B4"/>
    <w:rsid w:val="00B44A7F"/>
    <w:rsid w:val="00B44CDC"/>
    <w:rsid w:val="00B46750"/>
    <w:rsid w:val="00B50A68"/>
    <w:rsid w:val="00B51A4B"/>
    <w:rsid w:val="00B51CAC"/>
    <w:rsid w:val="00B52388"/>
    <w:rsid w:val="00B527A4"/>
    <w:rsid w:val="00B527CC"/>
    <w:rsid w:val="00B52B5C"/>
    <w:rsid w:val="00B52F18"/>
    <w:rsid w:val="00B53141"/>
    <w:rsid w:val="00B53ED6"/>
    <w:rsid w:val="00B558EF"/>
    <w:rsid w:val="00B56A7A"/>
    <w:rsid w:val="00B57B37"/>
    <w:rsid w:val="00B60551"/>
    <w:rsid w:val="00B61E91"/>
    <w:rsid w:val="00B62887"/>
    <w:rsid w:val="00B63702"/>
    <w:rsid w:val="00B63AD3"/>
    <w:rsid w:val="00B644B6"/>
    <w:rsid w:val="00B64ADB"/>
    <w:rsid w:val="00B64DB5"/>
    <w:rsid w:val="00B7091D"/>
    <w:rsid w:val="00B71153"/>
    <w:rsid w:val="00B71A88"/>
    <w:rsid w:val="00B71E37"/>
    <w:rsid w:val="00B72143"/>
    <w:rsid w:val="00B72792"/>
    <w:rsid w:val="00B72E0C"/>
    <w:rsid w:val="00B72F6E"/>
    <w:rsid w:val="00B73DF3"/>
    <w:rsid w:val="00B74599"/>
    <w:rsid w:val="00B74F37"/>
    <w:rsid w:val="00B755CD"/>
    <w:rsid w:val="00B76044"/>
    <w:rsid w:val="00B80560"/>
    <w:rsid w:val="00B80947"/>
    <w:rsid w:val="00B8094C"/>
    <w:rsid w:val="00B81F52"/>
    <w:rsid w:val="00B82366"/>
    <w:rsid w:val="00B82556"/>
    <w:rsid w:val="00B834FB"/>
    <w:rsid w:val="00B8360A"/>
    <w:rsid w:val="00B83DAD"/>
    <w:rsid w:val="00B84570"/>
    <w:rsid w:val="00B85D00"/>
    <w:rsid w:val="00B85D6C"/>
    <w:rsid w:val="00B85ED3"/>
    <w:rsid w:val="00B865D7"/>
    <w:rsid w:val="00B867E1"/>
    <w:rsid w:val="00B86C9B"/>
    <w:rsid w:val="00B86FF4"/>
    <w:rsid w:val="00B8744D"/>
    <w:rsid w:val="00B903F0"/>
    <w:rsid w:val="00B90837"/>
    <w:rsid w:val="00B90904"/>
    <w:rsid w:val="00B90DBB"/>
    <w:rsid w:val="00B91807"/>
    <w:rsid w:val="00B919AC"/>
    <w:rsid w:val="00B92316"/>
    <w:rsid w:val="00B929AF"/>
    <w:rsid w:val="00B930CF"/>
    <w:rsid w:val="00B93F6B"/>
    <w:rsid w:val="00B96E42"/>
    <w:rsid w:val="00B96F0B"/>
    <w:rsid w:val="00B97141"/>
    <w:rsid w:val="00B9755A"/>
    <w:rsid w:val="00BA0572"/>
    <w:rsid w:val="00BA1417"/>
    <w:rsid w:val="00BA2215"/>
    <w:rsid w:val="00BA2FAC"/>
    <w:rsid w:val="00BA3B79"/>
    <w:rsid w:val="00BA3F95"/>
    <w:rsid w:val="00BA4E59"/>
    <w:rsid w:val="00BA63B8"/>
    <w:rsid w:val="00BA689C"/>
    <w:rsid w:val="00BA6D4F"/>
    <w:rsid w:val="00BA76AB"/>
    <w:rsid w:val="00BA7F53"/>
    <w:rsid w:val="00BB14DF"/>
    <w:rsid w:val="00BB1F7B"/>
    <w:rsid w:val="00BB223F"/>
    <w:rsid w:val="00BB29A5"/>
    <w:rsid w:val="00BB347E"/>
    <w:rsid w:val="00BB4317"/>
    <w:rsid w:val="00BB45C9"/>
    <w:rsid w:val="00BB477C"/>
    <w:rsid w:val="00BB5270"/>
    <w:rsid w:val="00BB595B"/>
    <w:rsid w:val="00BB7346"/>
    <w:rsid w:val="00BB7C43"/>
    <w:rsid w:val="00BC0D6C"/>
    <w:rsid w:val="00BC1D6F"/>
    <w:rsid w:val="00BC2681"/>
    <w:rsid w:val="00BC298A"/>
    <w:rsid w:val="00BC3F4B"/>
    <w:rsid w:val="00BC49F7"/>
    <w:rsid w:val="00BC60D5"/>
    <w:rsid w:val="00BC6214"/>
    <w:rsid w:val="00BC6335"/>
    <w:rsid w:val="00BC65A9"/>
    <w:rsid w:val="00BC78BF"/>
    <w:rsid w:val="00BC7AD5"/>
    <w:rsid w:val="00BD05DF"/>
    <w:rsid w:val="00BD0A50"/>
    <w:rsid w:val="00BD11EE"/>
    <w:rsid w:val="00BD16D9"/>
    <w:rsid w:val="00BD1844"/>
    <w:rsid w:val="00BD27DB"/>
    <w:rsid w:val="00BD3F4A"/>
    <w:rsid w:val="00BD4163"/>
    <w:rsid w:val="00BD4182"/>
    <w:rsid w:val="00BD4338"/>
    <w:rsid w:val="00BD4661"/>
    <w:rsid w:val="00BD595E"/>
    <w:rsid w:val="00BD6755"/>
    <w:rsid w:val="00BE045C"/>
    <w:rsid w:val="00BE1485"/>
    <w:rsid w:val="00BE14A5"/>
    <w:rsid w:val="00BE184E"/>
    <w:rsid w:val="00BE1A14"/>
    <w:rsid w:val="00BE1C77"/>
    <w:rsid w:val="00BE1E85"/>
    <w:rsid w:val="00BE222B"/>
    <w:rsid w:val="00BE24A9"/>
    <w:rsid w:val="00BE2A91"/>
    <w:rsid w:val="00BE384E"/>
    <w:rsid w:val="00BE42E1"/>
    <w:rsid w:val="00BE4EFC"/>
    <w:rsid w:val="00BE55D7"/>
    <w:rsid w:val="00BE5A8F"/>
    <w:rsid w:val="00BE5B02"/>
    <w:rsid w:val="00BE5EE5"/>
    <w:rsid w:val="00BE7362"/>
    <w:rsid w:val="00BF08D1"/>
    <w:rsid w:val="00BF1827"/>
    <w:rsid w:val="00BF1E30"/>
    <w:rsid w:val="00BF1E78"/>
    <w:rsid w:val="00BF26D7"/>
    <w:rsid w:val="00BF2EAE"/>
    <w:rsid w:val="00BF33EE"/>
    <w:rsid w:val="00BF3917"/>
    <w:rsid w:val="00BF3965"/>
    <w:rsid w:val="00BF39DA"/>
    <w:rsid w:val="00BF3B48"/>
    <w:rsid w:val="00BF3FCC"/>
    <w:rsid w:val="00BF4059"/>
    <w:rsid w:val="00BF656C"/>
    <w:rsid w:val="00BF6F1B"/>
    <w:rsid w:val="00BF78C8"/>
    <w:rsid w:val="00BF7C5B"/>
    <w:rsid w:val="00BF7D78"/>
    <w:rsid w:val="00BF7E4E"/>
    <w:rsid w:val="00C002FA"/>
    <w:rsid w:val="00C020AE"/>
    <w:rsid w:val="00C03C04"/>
    <w:rsid w:val="00C04267"/>
    <w:rsid w:val="00C0468A"/>
    <w:rsid w:val="00C053CA"/>
    <w:rsid w:val="00C0757C"/>
    <w:rsid w:val="00C07BC1"/>
    <w:rsid w:val="00C104D5"/>
    <w:rsid w:val="00C107BB"/>
    <w:rsid w:val="00C1080A"/>
    <w:rsid w:val="00C10DE7"/>
    <w:rsid w:val="00C11051"/>
    <w:rsid w:val="00C113BC"/>
    <w:rsid w:val="00C12300"/>
    <w:rsid w:val="00C12D23"/>
    <w:rsid w:val="00C13035"/>
    <w:rsid w:val="00C13953"/>
    <w:rsid w:val="00C139EF"/>
    <w:rsid w:val="00C13AAD"/>
    <w:rsid w:val="00C13DBF"/>
    <w:rsid w:val="00C13FD0"/>
    <w:rsid w:val="00C152C5"/>
    <w:rsid w:val="00C15503"/>
    <w:rsid w:val="00C158C2"/>
    <w:rsid w:val="00C16363"/>
    <w:rsid w:val="00C16940"/>
    <w:rsid w:val="00C16C0A"/>
    <w:rsid w:val="00C175FE"/>
    <w:rsid w:val="00C17A53"/>
    <w:rsid w:val="00C20863"/>
    <w:rsid w:val="00C21DAC"/>
    <w:rsid w:val="00C21E07"/>
    <w:rsid w:val="00C21E1E"/>
    <w:rsid w:val="00C22660"/>
    <w:rsid w:val="00C2272F"/>
    <w:rsid w:val="00C22823"/>
    <w:rsid w:val="00C22A6B"/>
    <w:rsid w:val="00C23C30"/>
    <w:rsid w:val="00C24449"/>
    <w:rsid w:val="00C24CD4"/>
    <w:rsid w:val="00C259E3"/>
    <w:rsid w:val="00C26481"/>
    <w:rsid w:val="00C26950"/>
    <w:rsid w:val="00C26C46"/>
    <w:rsid w:val="00C27FA3"/>
    <w:rsid w:val="00C31377"/>
    <w:rsid w:val="00C31ADA"/>
    <w:rsid w:val="00C324D4"/>
    <w:rsid w:val="00C330A3"/>
    <w:rsid w:val="00C33E0A"/>
    <w:rsid w:val="00C3458B"/>
    <w:rsid w:val="00C34C0D"/>
    <w:rsid w:val="00C35394"/>
    <w:rsid w:val="00C357B6"/>
    <w:rsid w:val="00C35BF7"/>
    <w:rsid w:val="00C372C5"/>
    <w:rsid w:val="00C37DBB"/>
    <w:rsid w:val="00C37DC8"/>
    <w:rsid w:val="00C4036F"/>
    <w:rsid w:val="00C4056E"/>
    <w:rsid w:val="00C40589"/>
    <w:rsid w:val="00C406D0"/>
    <w:rsid w:val="00C40CF0"/>
    <w:rsid w:val="00C41783"/>
    <w:rsid w:val="00C41E19"/>
    <w:rsid w:val="00C41F78"/>
    <w:rsid w:val="00C42D34"/>
    <w:rsid w:val="00C432DB"/>
    <w:rsid w:val="00C43984"/>
    <w:rsid w:val="00C46F38"/>
    <w:rsid w:val="00C47016"/>
    <w:rsid w:val="00C47BFF"/>
    <w:rsid w:val="00C47CE9"/>
    <w:rsid w:val="00C47E8D"/>
    <w:rsid w:val="00C503C5"/>
    <w:rsid w:val="00C53CB7"/>
    <w:rsid w:val="00C548CF"/>
    <w:rsid w:val="00C548E8"/>
    <w:rsid w:val="00C55B26"/>
    <w:rsid w:val="00C55FD2"/>
    <w:rsid w:val="00C56DD2"/>
    <w:rsid w:val="00C57573"/>
    <w:rsid w:val="00C6039D"/>
    <w:rsid w:val="00C608C1"/>
    <w:rsid w:val="00C61743"/>
    <w:rsid w:val="00C61A41"/>
    <w:rsid w:val="00C62109"/>
    <w:rsid w:val="00C6282C"/>
    <w:rsid w:val="00C635AA"/>
    <w:rsid w:val="00C6528F"/>
    <w:rsid w:val="00C6533B"/>
    <w:rsid w:val="00C65C97"/>
    <w:rsid w:val="00C66C76"/>
    <w:rsid w:val="00C66F83"/>
    <w:rsid w:val="00C67413"/>
    <w:rsid w:val="00C67929"/>
    <w:rsid w:val="00C70BA7"/>
    <w:rsid w:val="00C71707"/>
    <w:rsid w:val="00C718E5"/>
    <w:rsid w:val="00C72013"/>
    <w:rsid w:val="00C723DA"/>
    <w:rsid w:val="00C7242E"/>
    <w:rsid w:val="00C72E4C"/>
    <w:rsid w:val="00C74154"/>
    <w:rsid w:val="00C7436A"/>
    <w:rsid w:val="00C75571"/>
    <w:rsid w:val="00C770FF"/>
    <w:rsid w:val="00C7753B"/>
    <w:rsid w:val="00C81E81"/>
    <w:rsid w:val="00C82DD3"/>
    <w:rsid w:val="00C8352B"/>
    <w:rsid w:val="00C8384C"/>
    <w:rsid w:val="00C83A46"/>
    <w:rsid w:val="00C84A9D"/>
    <w:rsid w:val="00C84D1A"/>
    <w:rsid w:val="00C8615A"/>
    <w:rsid w:val="00C90910"/>
    <w:rsid w:val="00C90C7C"/>
    <w:rsid w:val="00C91747"/>
    <w:rsid w:val="00C930F9"/>
    <w:rsid w:val="00C93BF3"/>
    <w:rsid w:val="00C9450D"/>
    <w:rsid w:val="00C94E54"/>
    <w:rsid w:val="00C95637"/>
    <w:rsid w:val="00C95E4D"/>
    <w:rsid w:val="00C964E3"/>
    <w:rsid w:val="00C972C0"/>
    <w:rsid w:val="00CA0D89"/>
    <w:rsid w:val="00CA16AD"/>
    <w:rsid w:val="00CA18B8"/>
    <w:rsid w:val="00CA2066"/>
    <w:rsid w:val="00CA3CD9"/>
    <w:rsid w:val="00CA41ED"/>
    <w:rsid w:val="00CA47E0"/>
    <w:rsid w:val="00CA5651"/>
    <w:rsid w:val="00CA5F8F"/>
    <w:rsid w:val="00CA6CA8"/>
    <w:rsid w:val="00CA7378"/>
    <w:rsid w:val="00CA7BA4"/>
    <w:rsid w:val="00CB0349"/>
    <w:rsid w:val="00CB0D07"/>
    <w:rsid w:val="00CB2B76"/>
    <w:rsid w:val="00CB589B"/>
    <w:rsid w:val="00CB603F"/>
    <w:rsid w:val="00CB646D"/>
    <w:rsid w:val="00CB6D5C"/>
    <w:rsid w:val="00CC13F2"/>
    <w:rsid w:val="00CC20F7"/>
    <w:rsid w:val="00CC3B3D"/>
    <w:rsid w:val="00CC42BA"/>
    <w:rsid w:val="00CC5E9B"/>
    <w:rsid w:val="00CC648A"/>
    <w:rsid w:val="00CD07E0"/>
    <w:rsid w:val="00CD0A76"/>
    <w:rsid w:val="00CD14A7"/>
    <w:rsid w:val="00CD1B3B"/>
    <w:rsid w:val="00CD1EC4"/>
    <w:rsid w:val="00CD2F98"/>
    <w:rsid w:val="00CD480B"/>
    <w:rsid w:val="00CD4816"/>
    <w:rsid w:val="00CD63A7"/>
    <w:rsid w:val="00CD685C"/>
    <w:rsid w:val="00CD6C9C"/>
    <w:rsid w:val="00CD7341"/>
    <w:rsid w:val="00CE0409"/>
    <w:rsid w:val="00CE0545"/>
    <w:rsid w:val="00CE0652"/>
    <w:rsid w:val="00CE0E23"/>
    <w:rsid w:val="00CE1880"/>
    <w:rsid w:val="00CE1B55"/>
    <w:rsid w:val="00CE1F34"/>
    <w:rsid w:val="00CE3543"/>
    <w:rsid w:val="00CE4664"/>
    <w:rsid w:val="00CE6200"/>
    <w:rsid w:val="00CE76D8"/>
    <w:rsid w:val="00CE78AA"/>
    <w:rsid w:val="00CF06C1"/>
    <w:rsid w:val="00CF107E"/>
    <w:rsid w:val="00CF2221"/>
    <w:rsid w:val="00CF34B0"/>
    <w:rsid w:val="00CF3EE7"/>
    <w:rsid w:val="00CF3F7F"/>
    <w:rsid w:val="00CF40BA"/>
    <w:rsid w:val="00CF457C"/>
    <w:rsid w:val="00CF4D22"/>
    <w:rsid w:val="00CF570E"/>
    <w:rsid w:val="00CF5AE2"/>
    <w:rsid w:val="00CF6A5D"/>
    <w:rsid w:val="00CF6AAB"/>
    <w:rsid w:val="00D00238"/>
    <w:rsid w:val="00D01266"/>
    <w:rsid w:val="00D01E72"/>
    <w:rsid w:val="00D028B4"/>
    <w:rsid w:val="00D029BF"/>
    <w:rsid w:val="00D02D76"/>
    <w:rsid w:val="00D02F63"/>
    <w:rsid w:val="00D0334D"/>
    <w:rsid w:val="00D035E6"/>
    <w:rsid w:val="00D03777"/>
    <w:rsid w:val="00D04601"/>
    <w:rsid w:val="00D04832"/>
    <w:rsid w:val="00D04A06"/>
    <w:rsid w:val="00D04C52"/>
    <w:rsid w:val="00D06CFE"/>
    <w:rsid w:val="00D071DD"/>
    <w:rsid w:val="00D07782"/>
    <w:rsid w:val="00D07CA4"/>
    <w:rsid w:val="00D10700"/>
    <w:rsid w:val="00D1092B"/>
    <w:rsid w:val="00D10D45"/>
    <w:rsid w:val="00D11BBF"/>
    <w:rsid w:val="00D124F4"/>
    <w:rsid w:val="00D16387"/>
    <w:rsid w:val="00D168E4"/>
    <w:rsid w:val="00D17A10"/>
    <w:rsid w:val="00D208DB"/>
    <w:rsid w:val="00D20DA6"/>
    <w:rsid w:val="00D222A5"/>
    <w:rsid w:val="00D22457"/>
    <w:rsid w:val="00D23D65"/>
    <w:rsid w:val="00D2576D"/>
    <w:rsid w:val="00D25C3F"/>
    <w:rsid w:val="00D261B7"/>
    <w:rsid w:val="00D272D6"/>
    <w:rsid w:val="00D30378"/>
    <w:rsid w:val="00D31CE5"/>
    <w:rsid w:val="00D33303"/>
    <w:rsid w:val="00D344CC"/>
    <w:rsid w:val="00D347BE"/>
    <w:rsid w:val="00D34D9D"/>
    <w:rsid w:val="00D35821"/>
    <w:rsid w:val="00D37E5D"/>
    <w:rsid w:val="00D403E7"/>
    <w:rsid w:val="00D40529"/>
    <w:rsid w:val="00D40952"/>
    <w:rsid w:val="00D410E3"/>
    <w:rsid w:val="00D42464"/>
    <w:rsid w:val="00D4353F"/>
    <w:rsid w:val="00D43606"/>
    <w:rsid w:val="00D442B2"/>
    <w:rsid w:val="00D44D78"/>
    <w:rsid w:val="00D44E65"/>
    <w:rsid w:val="00D454AB"/>
    <w:rsid w:val="00D456D8"/>
    <w:rsid w:val="00D45F39"/>
    <w:rsid w:val="00D47129"/>
    <w:rsid w:val="00D472B7"/>
    <w:rsid w:val="00D47D9A"/>
    <w:rsid w:val="00D47E7D"/>
    <w:rsid w:val="00D501BF"/>
    <w:rsid w:val="00D50690"/>
    <w:rsid w:val="00D50945"/>
    <w:rsid w:val="00D50D06"/>
    <w:rsid w:val="00D515CE"/>
    <w:rsid w:val="00D51624"/>
    <w:rsid w:val="00D5226A"/>
    <w:rsid w:val="00D53E81"/>
    <w:rsid w:val="00D55307"/>
    <w:rsid w:val="00D553D3"/>
    <w:rsid w:val="00D55521"/>
    <w:rsid w:val="00D55648"/>
    <w:rsid w:val="00D567FC"/>
    <w:rsid w:val="00D568A2"/>
    <w:rsid w:val="00D56921"/>
    <w:rsid w:val="00D57CB1"/>
    <w:rsid w:val="00D606A4"/>
    <w:rsid w:val="00D60B5C"/>
    <w:rsid w:val="00D61E31"/>
    <w:rsid w:val="00D6296A"/>
    <w:rsid w:val="00D6322E"/>
    <w:rsid w:val="00D63417"/>
    <w:rsid w:val="00D63D55"/>
    <w:rsid w:val="00D64C18"/>
    <w:rsid w:val="00D6575C"/>
    <w:rsid w:val="00D65E09"/>
    <w:rsid w:val="00D65E82"/>
    <w:rsid w:val="00D66010"/>
    <w:rsid w:val="00D662D7"/>
    <w:rsid w:val="00D66812"/>
    <w:rsid w:val="00D676E4"/>
    <w:rsid w:val="00D67985"/>
    <w:rsid w:val="00D67E09"/>
    <w:rsid w:val="00D70064"/>
    <w:rsid w:val="00D700B4"/>
    <w:rsid w:val="00D701E1"/>
    <w:rsid w:val="00D70863"/>
    <w:rsid w:val="00D70931"/>
    <w:rsid w:val="00D71440"/>
    <w:rsid w:val="00D71D31"/>
    <w:rsid w:val="00D731C8"/>
    <w:rsid w:val="00D73F8A"/>
    <w:rsid w:val="00D745B8"/>
    <w:rsid w:val="00D759D8"/>
    <w:rsid w:val="00D75DD3"/>
    <w:rsid w:val="00D763D5"/>
    <w:rsid w:val="00D76F1A"/>
    <w:rsid w:val="00D77252"/>
    <w:rsid w:val="00D80B5E"/>
    <w:rsid w:val="00D8166E"/>
    <w:rsid w:val="00D81A8A"/>
    <w:rsid w:val="00D824B5"/>
    <w:rsid w:val="00D83101"/>
    <w:rsid w:val="00D831EC"/>
    <w:rsid w:val="00D83A84"/>
    <w:rsid w:val="00D844C4"/>
    <w:rsid w:val="00D857A4"/>
    <w:rsid w:val="00D86074"/>
    <w:rsid w:val="00D86172"/>
    <w:rsid w:val="00D879E4"/>
    <w:rsid w:val="00D901B2"/>
    <w:rsid w:val="00D92323"/>
    <w:rsid w:val="00D92529"/>
    <w:rsid w:val="00D92670"/>
    <w:rsid w:val="00D93500"/>
    <w:rsid w:val="00D93604"/>
    <w:rsid w:val="00D93C5E"/>
    <w:rsid w:val="00D953F2"/>
    <w:rsid w:val="00D95861"/>
    <w:rsid w:val="00D95D71"/>
    <w:rsid w:val="00D95ECE"/>
    <w:rsid w:val="00D960F7"/>
    <w:rsid w:val="00D96CC6"/>
    <w:rsid w:val="00D96E3C"/>
    <w:rsid w:val="00D97E70"/>
    <w:rsid w:val="00D97F75"/>
    <w:rsid w:val="00DA0373"/>
    <w:rsid w:val="00DA1356"/>
    <w:rsid w:val="00DA165F"/>
    <w:rsid w:val="00DA1CF3"/>
    <w:rsid w:val="00DA1DCA"/>
    <w:rsid w:val="00DA2C37"/>
    <w:rsid w:val="00DA3BCC"/>
    <w:rsid w:val="00DA3F1D"/>
    <w:rsid w:val="00DA4162"/>
    <w:rsid w:val="00DA493E"/>
    <w:rsid w:val="00DA529D"/>
    <w:rsid w:val="00DA52D8"/>
    <w:rsid w:val="00DA5F04"/>
    <w:rsid w:val="00DA5FAB"/>
    <w:rsid w:val="00DA610D"/>
    <w:rsid w:val="00DA79C5"/>
    <w:rsid w:val="00DA7C66"/>
    <w:rsid w:val="00DB0AD4"/>
    <w:rsid w:val="00DB0CC2"/>
    <w:rsid w:val="00DB1310"/>
    <w:rsid w:val="00DB319A"/>
    <w:rsid w:val="00DB42E4"/>
    <w:rsid w:val="00DB5671"/>
    <w:rsid w:val="00DB61BF"/>
    <w:rsid w:val="00DB63CD"/>
    <w:rsid w:val="00DB7D24"/>
    <w:rsid w:val="00DC015D"/>
    <w:rsid w:val="00DC0E9A"/>
    <w:rsid w:val="00DC147F"/>
    <w:rsid w:val="00DC23AB"/>
    <w:rsid w:val="00DC2DA6"/>
    <w:rsid w:val="00DC3BE9"/>
    <w:rsid w:val="00DC3DBC"/>
    <w:rsid w:val="00DC4100"/>
    <w:rsid w:val="00DC4BBF"/>
    <w:rsid w:val="00DC4FD2"/>
    <w:rsid w:val="00DC710A"/>
    <w:rsid w:val="00DC7ED9"/>
    <w:rsid w:val="00DC7F32"/>
    <w:rsid w:val="00DD01A9"/>
    <w:rsid w:val="00DD04C6"/>
    <w:rsid w:val="00DD0559"/>
    <w:rsid w:val="00DD0C86"/>
    <w:rsid w:val="00DD1526"/>
    <w:rsid w:val="00DD16C4"/>
    <w:rsid w:val="00DD1C39"/>
    <w:rsid w:val="00DD1F98"/>
    <w:rsid w:val="00DD2210"/>
    <w:rsid w:val="00DD4558"/>
    <w:rsid w:val="00DD488C"/>
    <w:rsid w:val="00DD5DF9"/>
    <w:rsid w:val="00DD5F5C"/>
    <w:rsid w:val="00DD6423"/>
    <w:rsid w:val="00DD6D26"/>
    <w:rsid w:val="00DD7338"/>
    <w:rsid w:val="00DD7766"/>
    <w:rsid w:val="00DD778D"/>
    <w:rsid w:val="00DE03DD"/>
    <w:rsid w:val="00DE1668"/>
    <w:rsid w:val="00DE1B2D"/>
    <w:rsid w:val="00DE220A"/>
    <w:rsid w:val="00DE2280"/>
    <w:rsid w:val="00DE2E66"/>
    <w:rsid w:val="00DE31AE"/>
    <w:rsid w:val="00DE3D2E"/>
    <w:rsid w:val="00DE470B"/>
    <w:rsid w:val="00DE4D13"/>
    <w:rsid w:val="00DE5059"/>
    <w:rsid w:val="00DE5450"/>
    <w:rsid w:val="00DE6238"/>
    <w:rsid w:val="00DE6547"/>
    <w:rsid w:val="00DE7185"/>
    <w:rsid w:val="00DE72B6"/>
    <w:rsid w:val="00DF06D7"/>
    <w:rsid w:val="00DF07B6"/>
    <w:rsid w:val="00DF0B38"/>
    <w:rsid w:val="00DF0E59"/>
    <w:rsid w:val="00DF108F"/>
    <w:rsid w:val="00DF15DF"/>
    <w:rsid w:val="00DF2072"/>
    <w:rsid w:val="00DF2D96"/>
    <w:rsid w:val="00DF3854"/>
    <w:rsid w:val="00DF4357"/>
    <w:rsid w:val="00DF51E1"/>
    <w:rsid w:val="00DF55E6"/>
    <w:rsid w:val="00DF5721"/>
    <w:rsid w:val="00DF5BDB"/>
    <w:rsid w:val="00DF6B4B"/>
    <w:rsid w:val="00DF75CF"/>
    <w:rsid w:val="00E0098F"/>
    <w:rsid w:val="00E00D00"/>
    <w:rsid w:val="00E01265"/>
    <w:rsid w:val="00E014DB"/>
    <w:rsid w:val="00E026EE"/>
    <w:rsid w:val="00E04B76"/>
    <w:rsid w:val="00E04D4A"/>
    <w:rsid w:val="00E05959"/>
    <w:rsid w:val="00E062BE"/>
    <w:rsid w:val="00E0692E"/>
    <w:rsid w:val="00E06A20"/>
    <w:rsid w:val="00E06BFC"/>
    <w:rsid w:val="00E06DCC"/>
    <w:rsid w:val="00E07050"/>
    <w:rsid w:val="00E107B4"/>
    <w:rsid w:val="00E107CE"/>
    <w:rsid w:val="00E10E5F"/>
    <w:rsid w:val="00E11DCC"/>
    <w:rsid w:val="00E11ECA"/>
    <w:rsid w:val="00E12469"/>
    <w:rsid w:val="00E12965"/>
    <w:rsid w:val="00E12E88"/>
    <w:rsid w:val="00E136F0"/>
    <w:rsid w:val="00E142F0"/>
    <w:rsid w:val="00E152E1"/>
    <w:rsid w:val="00E15E1F"/>
    <w:rsid w:val="00E20428"/>
    <w:rsid w:val="00E2058E"/>
    <w:rsid w:val="00E20A03"/>
    <w:rsid w:val="00E20D97"/>
    <w:rsid w:val="00E213AA"/>
    <w:rsid w:val="00E2185C"/>
    <w:rsid w:val="00E2243E"/>
    <w:rsid w:val="00E232F2"/>
    <w:rsid w:val="00E240AC"/>
    <w:rsid w:val="00E25254"/>
    <w:rsid w:val="00E25CA1"/>
    <w:rsid w:val="00E25EAD"/>
    <w:rsid w:val="00E262D2"/>
    <w:rsid w:val="00E26DB7"/>
    <w:rsid w:val="00E306F1"/>
    <w:rsid w:val="00E32F68"/>
    <w:rsid w:val="00E3380E"/>
    <w:rsid w:val="00E33AC9"/>
    <w:rsid w:val="00E33B40"/>
    <w:rsid w:val="00E34AA6"/>
    <w:rsid w:val="00E35192"/>
    <w:rsid w:val="00E35EFE"/>
    <w:rsid w:val="00E36891"/>
    <w:rsid w:val="00E37B85"/>
    <w:rsid w:val="00E40794"/>
    <w:rsid w:val="00E409E4"/>
    <w:rsid w:val="00E4124F"/>
    <w:rsid w:val="00E41561"/>
    <w:rsid w:val="00E415A6"/>
    <w:rsid w:val="00E42158"/>
    <w:rsid w:val="00E42A5F"/>
    <w:rsid w:val="00E43160"/>
    <w:rsid w:val="00E437F7"/>
    <w:rsid w:val="00E4385F"/>
    <w:rsid w:val="00E44941"/>
    <w:rsid w:val="00E44C32"/>
    <w:rsid w:val="00E46592"/>
    <w:rsid w:val="00E46B23"/>
    <w:rsid w:val="00E47099"/>
    <w:rsid w:val="00E501B2"/>
    <w:rsid w:val="00E501D5"/>
    <w:rsid w:val="00E50264"/>
    <w:rsid w:val="00E50770"/>
    <w:rsid w:val="00E51098"/>
    <w:rsid w:val="00E510D8"/>
    <w:rsid w:val="00E51930"/>
    <w:rsid w:val="00E51BE2"/>
    <w:rsid w:val="00E52A66"/>
    <w:rsid w:val="00E5300B"/>
    <w:rsid w:val="00E55284"/>
    <w:rsid w:val="00E55A7F"/>
    <w:rsid w:val="00E601CF"/>
    <w:rsid w:val="00E61163"/>
    <w:rsid w:val="00E61FCC"/>
    <w:rsid w:val="00E6314D"/>
    <w:rsid w:val="00E63D8C"/>
    <w:rsid w:val="00E63E5C"/>
    <w:rsid w:val="00E63EFC"/>
    <w:rsid w:val="00E6431C"/>
    <w:rsid w:val="00E666D0"/>
    <w:rsid w:val="00E66771"/>
    <w:rsid w:val="00E668D6"/>
    <w:rsid w:val="00E70C1E"/>
    <w:rsid w:val="00E714B6"/>
    <w:rsid w:val="00E72328"/>
    <w:rsid w:val="00E727BE"/>
    <w:rsid w:val="00E72D12"/>
    <w:rsid w:val="00E73447"/>
    <w:rsid w:val="00E73D52"/>
    <w:rsid w:val="00E73ED2"/>
    <w:rsid w:val="00E7461C"/>
    <w:rsid w:val="00E75D11"/>
    <w:rsid w:val="00E76470"/>
    <w:rsid w:val="00E76C6F"/>
    <w:rsid w:val="00E76E7D"/>
    <w:rsid w:val="00E76F9A"/>
    <w:rsid w:val="00E80322"/>
    <w:rsid w:val="00E80862"/>
    <w:rsid w:val="00E82CCF"/>
    <w:rsid w:val="00E82FCE"/>
    <w:rsid w:val="00E8323C"/>
    <w:rsid w:val="00E84890"/>
    <w:rsid w:val="00E858E1"/>
    <w:rsid w:val="00E861B5"/>
    <w:rsid w:val="00E86937"/>
    <w:rsid w:val="00E87F0F"/>
    <w:rsid w:val="00E92D9D"/>
    <w:rsid w:val="00E932AA"/>
    <w:rsid w:val="00E93738"/>
    <w:rsid w:val="00E96B46"/>
    <w:rsid w:val="00E9792B"/>
    <w:rsid w:val="00EA11B7"/>
    <w:rsid w:val="00EA16F9"/>
    <w:rsid w:val="00EA3F62"/>
    <w:rsid w:val="00EA4A45"/>
    <w:rsid w:val="00EA4E43"/>
    <w:rsid w:val="00EA589E"/>
    <w:rsid w:val="00EA5AB9"/>
    <w:rsid w:val="00EA602D"/>
    <w:rsid w:val="00EA6E13"/>
    <w:rsid w:val="00EA6F8A"/>
    <w:rsid w:val="00EA7A3B"/>
    <w:rsid w:val="00EA7C38"/>
    <w:rsid w:val="00EA7CFE"/>
    <w:rsid w:val="00EB1023"/>
    <w:rsid w:val="00EB29D9"/>
    <w:rsid w:val="00EB3EC8"/>
    <w:rsid w:val="00EB4DE0"/>
    <w:rsid w:val="00EB69DB"/>
    <w:rsid w:val="00EB6CA2"/>
    <w:rsid w:val="00EB7546"/>
    <w:rsid w:val="00EB7656"/>
    <w:rsid w:val="00EC031F"/>
    <w:rsid w:val="00EC1298"/>
    <w:rsid w:val="00EC1D6E"/>
    <w:rsid w:val="00EC2882"/>
    <w:rsid w:val="00EC2C0B"/>
    <w:rsid w:val="00EC3456"/>
    <w:rsid w:val="00EC3779"/>
    <w:rsid w:val="00EC40DE"/>
    <w:rsid w:val="00EC41EF"/>
    <w:rsid w:val="00EC43C2"/>
    <w:rsid w:val="00EC5E6B"/>
    <w:rsid w:val="00EC607D"/>
    <w:rsid w:val="00EC6134"/>
    <w:rsid w:val="00EC6561"/>
    <w:rsid w:val="00EC65F9"/>
    <w:rsid w:val="00EC6A82"/>
    <w:rsid w:val="00EC7387"/>
    <w:rsid w:val="00EC754C"/>
    <w:rsid w:val="00EC7D60"/>
    <w:rsid w:val="00EC7DFD"/>
    <w:rsid w:val="00ED0615"/>
    <w:rsid w:val="00ED109F"/>
    <w:rsid w:val="00ED21AE"/>
    <w:rsid w:val="00ED3737"/>
    <w:rsid w:val="00ED5598"/>
    <w:rsid w:val="00ED646B"/>
    <w:rsid w:val="00ED69A9"/>
    <w:rsid w:val="00ED76EC"/>
    <w:rsid w:val="00ED7841"/>
    <w:rsid w:val="00EE0FC4"/>
    <w:rsid w:val="00EE10B6"/>
    <w:rsid w:val="00EE16AF"/>
    <w:rsid w:val="00EE3643"/>
    <w:rsid w:val="00EE3A02"/>
    <w:rsid w:val="00EE4989"/>
    <w:rsid w:val="00EE527A"/>
    <w:rsid w:val="00EE6C54"/>
    <w:rsid w:val="00EE7059"/>
    <w:rsid w:val="00EE7638"/>
    <w:rsid w:val="00EE76A7"/>
    <w:rsid w:val="00EE7A2A"/>
    <w:rsid w:val="00EF0CF1"/>
    <w:rsid w:val="00EF0EBA"/>
    <w:rsid w:val="00EF10B0"/>
    <w:rsid w:val="00EF1439"/>
    <w:rsid w:val="00EF2B5F"/>
    <w:rsid w:val="00EF3113"/>
    <w:rsid w:val="00EF39F5"/>
    <w:rsid w:val="00EF3FBF"/>
    <w:rsid w:val="00EF5665"/>
    <w:rsid w:val="00EF5699"/>
    <w:rsid w:val="00EF579D"/>
    <w:rsid w:val="00EF57CF"/>
    <w:rsid w:val="00EF61BE"/>
    <w:rsid w:val="00EF7951"/>
    <w:rsid w:val="00EF7CDC"/>
    <w:rsid w:val="00F00ADF"/>
    <w:rsid w:val="00F00E0D"/>
    <w:rsid w:val="00F015E4"/>
    <w:rsid w:val="00F02070"/>
    <w:rsid w:val="00F02C7C"/>
    <w:rsid w:val="00F041AA"/>
    <w:rsid w:val="00F043E8"/>
    <w:rsid w:val="00F049B1"/>
    <w:rsid w:val="00F0608C"/>
    <w:rsid w:val="00F07089"/>
    <w:rsid w:val="00F072A4"/>
    <w:rsid w:val="00F07ED1"/>
    <w:rsid w:val="00F1008D"/>
    <w:rsid w:val="00F103A8"/>
    <w:rsid w:val="00F120A3"/>
    <w:rsid w:val="00F12333"/>
    <w:rsid w:val="00F12C0C"/>
    <w:rsid w:val="00F12C19"/>
    <w:rsid w:val="00F12D3C"/>
    <w:rsid w:val="00F13747"/>
    <w:rsid w:val="00F13793"/>
    <w:rsid w:val="00F13C5D"/>
    <w:rsid w:val="00F13C82"/>
    <w:rsid w:val="00F14C55"/>
    <w:rsid w:val="00F14CF3"/>
    <w:rsid w:val="00F14E9A"/>
    <w:rsid w:val="00F152BF"/>
    <w:rsid w:val="00F15FB5"/>
    <w:rsid w:val="00F1678E"/>
    <w:rsid w:val="00F218DC"/>
    <w:rsid w:val="00F21ACA"/>
    <w:rsid w:val="00F21EBC"/>
    <w:rsid w:val="00F21FCF"/>
    <w:rsid w:val="00F22786"/>
    <w:rsid w:val="00F235D7"/>
    <w:rsid w:val="00F24200"/>
    <w:rsid w:val="00F244F3"/>
    <w:rsid w:val="00F25222"/>
    <w:rsid w:val="00F25A51"/>
    <w:rsid w:val="00F25ED9"/>
    <w:rsid w:val="00F274BF"/>
    <w:rsid w:val="00F302CE"/>
    <w:rsid w:val="00F30C5D"/>
    <w:rsid w:val="00F30E5A"/>
    <w:rsid w:val="00F313B0"/>
    <w:rsid w:val="00F315DB"/>
    <w:rsid w:val="00F32265"/>
    <w:rsid w:val="00F32707"/>
    <w:rsid w:val="00F3378E"/>
    <w:rsid w:val="00F33AE2"/>
    <w:rsid w:val="00F33BC4"/>
    <w:rsid w:val="00F346FD"/>
    <w:rsid w:val="00F35739"/>
    <w:rsid w:val="00F36751"/>
    <w:rsid w:val="00F369C3"/>
    <w:rsid w:val="00F36B23"/>
    <w:rsid w:val="00F374E9"/>
    <w:rsid w:val="00F37529"/>
    <w:rsid w:val="00F3790A"/>
    <w:rsid w:val="00F403EF"/>
    <w:rsid w:val="00F40BDC"/>
    <w:rsid w:val="00F4118D"/>
    <w:rsid w:val="00F42295"/>
    <w:rsid w:val="00F4274E"/>
    <w:rsid w:val="00F42D04"/>
    <w:rsid w:val="00F43103"/>
    <w:rsid w:val="00F435FB"/>
    <w:rsid w:val="00F43807"/>
    <w:rsid w:val="00F4456F"/>
    <w:rsid w:val="00F450D9"/>
    <w:rsid w:val="00F46102"/>
    <w:rsid w:val="00F4682F"/>
    <w:rsid w:val="00F469F0"/>
    <w:rsid w:val="00F479AA"/>
    <w:rsid w:val="00F50915"/>
    <w:rsid w:val="00F5144D"/>
    <w:rsid w:val="00F51FCA"/>
    <w:rsid w:val="00F51FCE"/>
    <w:rsid w:val="00F52525"/>
    <w:rsid w:val="00F52B93"/>
    <w:rsid w:val="00F53354"/>
    <w:rsid w:val="00F53854"/>
    <w:rsid w:val="00F5391B"/>
    <w:rsid w:val="00F543CE"/>
    <w:rsid w:val="00F5527D"/>
    <w:rsid w:val="00F56172"/>
    <w:rsid w:val="00F56CBB"/>
    <w:rsid w:val="00F60C61"/>
    <w:rsid w:val="00F60FC5"/>
    <w:rsid w:val="00F619FF"/>
    <w:rsid w:val="00F62212"/>
    <w:rsid w:val="00F62DA7"/>
    <w:rsid w:val="00F63950"/>
    <w:rsid w:val="00F63A11"/>
    <w:rsid w:val="00F63BC2"/>
    <w:rsid w:val="00F640F4"/>
    <w:rsid w:val="00F643BD"/>
    <w:rsid w:val="00F6474B"/>
    <w:rsid w:val="00F64A83"/>
    <w:rsid w:val="00F6622C"/>
    <w:rsid w:val="00F6696C"/>
    <w:rsid w:val="00F66EDC"/>
    <w:rsid w:val="00F67BA8"/>
    <w:rsid w:val="00F67E2E"/>
    <w:rsid w:val="00F7041B"/>
    <w:rsid w:val="00F70E3E"/>
    <w:rsid w:val="00F70F22"/>
    <w:rsid w:val="00F721D5"/>
    <w:rsid w:val="00F724E1"/>
    <w:rsid w:val="00F72836"/>
    <w:rsid w:val="00F72E06"/>
    <w:rsid w:val="00F73545"/>
    <w:rsid w:val="00F740DF"/>
    <w:rsid w:val="00F74A87"/>
    <w:rsid w:val="00F74FFE"/>
    <w:rsid w:val="00F750E6"/>
    <w:rsid w:val="00F7522E"/>
    <w:rsid w:val="00F7574E"/>
    <w:rsid w:val="00F76A58"/>
    <w:rsid w:val="00F77A92"/>
    <w:rsid w:val="00F81EA1"/>
    <w:rsid w:val="00F822B3"/>
    <w:rsid w:val="00F82584"/>
    <w:rsid w:val="00F85B21"/>
    <w:rsid w:val="00F85E66"/>
    <w:rsid w:val="00F85E75"/>
    <w:rsid w:val="00F86F3C"/>
    <w:rsid w:val="00F87055"/>
    <w:rsid w:val="00F87156"/>
    <w:rsid w:val="00F90E98"/>
    <w:rsid w:val="00F90EEE"/>
    <w:rsid w:val="00F921A8"/>
    <w:rsid w:val="00F92220"/>
    <w:rsid w:val="00F928F2"/>
    <w:rsid w:val="00F92BDA"/>
    <w:rsid w:val="00F92E45"/>
    <w:rsid w:val="00F94DA8"/>
    <w:rsid w:val="00F95349"/>
    <w:rsid w:val="00F95375"/>
    <w:rsid w:val="00F95590"/>
    <w:rsid w:val="00F96D0F"/>
    <w:rsid w:val="00FA03B1"/>
    <w:rsid w:val="00FA2B70"/>
    <w:rsid w:val="00FA2DDB"/>
    <w:rsid w:val="00FA2EBF"/>
    <w:rsid w:val="00FA32F4"/>
    <w:rsid w:val="00FA3A8C"/>
    <w:rsid w:val="00FA3CEC"/>
    <w:rsid w:val="00FA5D63"/>
    <w:rsid w:val="00FA7167"/>
    <w:rsid w:val="00FA73C5"/>
    <w:rsid w:val="00FA79A0"/>
    <w:rsid w:val="00FB14C2"/>
    <w:rsid w:val="00FB1627"/>
    <w:rsid w:val="00FB1669"/>
    <w:rsid w:val="00FB26E3"/>
    <w:rsid w:val="00FB30B1"/>
    <w:rsid w:val="00FB30B6"/>
    <w:rsid w:val="00FB3621"/>
    <w:rsid w:val="00FB4A83"/>
    <w:rsid w:val="00FB4E59"/>
    <w:rsid w:val="00FB4F89"/>
    <w:rsid w:val="00FB546D"/>
    <w:rsid w:val="00FB5A12"/>
    <w:rsid w:val="00FB65AA"/>
    <w:rsid w:val="00FB7A11"/>
    <w:rsid w:val="00FC075B"/>
    <w:rsid w:val="00FC0B9F"/>
    <w:rsid w:val="00FC0F98"/>
    <w:rsid w:val="00FC251E"/>
    <w:rsid w:val="00FC277B"/>
    <w:rsid w:val="00FC283B"/>
    <w:rsid w:val="00FC3EEA"/>
    <w:rsid w:val="00FC40D8"/>
    <w:rsid w:val="00FC4114"/>
    <w:rsid w:val="00FC4F48"/>
    <w:rsid w:val="00FC5209"/>
    <w:rsid w:val="00FC5262"/>
    <w:rsid w:val="00FC6401"/>
    <w:rsid w:val="00FC7142"/>
    <w:rsid w:val="00FD0553"/>
    <w:rsid w:val="00FD0B72"/>
    <w:rsid w:val="00FD13F4"/>
    <w:rsid w:val="00FD186B"/>
    <w:rsid w:val="00FD1AF1"/>
    <w:rsid w:val="00FD28BA"/>
    <w:rsid w:val="00FD2949"/>
    <w:rsid w:val="00FD3391"/>
    <w:rsid w:val="00FD38FB"/>
    <w:rsid w:val="00FD3BEB"/>
    <w:rsid w:val="00FD3CA2"/>
    <w:rsid w:val="00FD4598"/>
    <w:rsid w:val="00FD50C5"/>
    <w:rsid w:val="00FD5A7C"/>
    <w:rsid w:val="00FD6DD0"/>
    <w:rsid w:val="00FE01D3"/>
    <w:rsid w:val="00FE22B4"/>
    <w:rsid w:val="00FE2831"/>
    <w:rsid w:val="00FE3665"/>
    <w:rsid w:val="00FE3A62"/>
    <w:rsid w:val="00FE5803"/>
    <w:rsid w:val="00FE5EA1"/>
    <w:rsid w:val="00FE628E"/>
    <w:rsid w:val="00FE6338"/>
    <w:rsid w:val="00FE6B4F"/>
    <w:rsid w:val="00FE7471"/>
    <w:rsid w:val="00FE776C"/>
    <w:rsid w:val="00FF0C25"/>
    <w:rsid w:val="00FF0E80"/>
    <w:rsid w:val="00FF176C"/>
    <w:rsid w:val="00FF1916"/>
    <w:rsid w:val="00FF1AFB"/>
    <w:rsid w:val="00FF1D74"/>
    <w:rsid w:val="00FF1F4D"/>
    <w:rsid w:val="00FF2AF2"/>
    <w:rsid w:val="00FF4D21"/>
    <w:rsid w:val="00FF4DC6"/>
    <w:rsid w:val="00FF6121"/>
    <w:rsid w:val="00FF66A3"/>
    <w:rsid w:val="00FF7142"/>
    <w:rsid w:val="011265D4"/>
    <w:rsid w:val="031E4665"/>
    <w:rsid w:val="04DA26C6"/>
    <w:rsid w:val="06AE7966"/>
    <w:rsid w:val="086821AB"/>
    <w:rsid w:val="088B53B7"/>
    <w:rsid w:val="08AA4084"/>
    <w:rsid w:val="095962AF"/>
    <w:rsid w:val="096B47D0"/>
    <w:rsid w:val="0B6F6700"/>
    <w:rsid w:val="0C191D25"/>
    <w:rsid w:val="0E7B0753"/>
    <w:rsid w:val="0F36092B"/>
    <w:rsid w:val="0FAD4F5E"/>
    <w:rsid w:val="0FC21A59"/>
    <w:rsid w:val="11673533"/>
    <w:rsid w:val="119E4E29"/>
    <w:rsid w:val="11A42091"/>
    <w:rsid w:val="12930F4F"/>
    <w:rsid w:val="13427DB4"/>
    <w:rsid w:val="14F62C49"/>
    <w:rsid w:val="155B4036"/>
    <w:rsid w:val="156D7EAA"/>
    <w:rsid w:val="160D3E74"/>
    <w:rsid w:val="172B0B5F"/>
    <w:rsid w:val="184C3483"/>
    <w:rsid w:val="18F002B2"/>
    <w:rsid w:val="1A212E21"/>
    <w:rsid w:val="1D883788"/>
    <w:rsid w:val="1EB67E7D"/>
    <w:rsid w:val="1EB83BF5"/>
    <w:rsid w:val="1FD22826"/>
    <w:rsid w:val="213411B9"/>
    <w:rsid w:val="24CD14A7"/>
    <w:rsid w:val="29256FC3"/>
    <w:rsid w:val="29840422"/>
    <w:rsid w:val="2F900653"/>
    <w:rsid w:val="30D71550"/>
    <w:rsid w:val="31A53918"/>
    <w:rsid w:val="31DF0536"/>
    <w:rsid w:val="326D5D6F"/>
    <w:rsid w:val="33266952"/>
    <w:rsid w:val="33CB0ABF"/>
    <w:rsid w:val="34C44675"/>
    <w:rsid w:val="357B5270"/>
    <w:rsid w:val="35C80866"/>
    <w:rsid w:val="36F54FB9"/>
    <w:rsid w:val="37531CE0"/>
    <w:rsid w:val="39717F10"/>
    <w:rsid w:val="3CAA514B"/>
    <w:rsid w:val="3D6051F2"/>
    <w:rsid w:val="3DB646B6"/>
    <w:rsid w:val="3DEC0D79"/>
    <w:rsid w:val="3E442382"/>
    <w:rsid w:val="3EFB0581"/>
    <w:rsid w:val="3EFF67ED"/>
    <w:rsid w:val="400C0C7E"/>
    <w:rsid w:val="40136724"/>
    <w:rsid w:val="424E557E"/>
    <w:rsid w:val="444729ED"/>
    <w:rsid w:val="45FE72BB"/>
    <w:rsid w:val="46C93D6D"/>
    <w:rsid w:val="477B4D9F"/>
    <w:rsid w:val="479A0974"/>
    <w:rsid w:val="49EA284B"/>
    <w:rsid w:val="4BAF57C4"/>
    <w:rsid w:val="4CE805DC"/>
    <w:rsid w:val="4D4479E2"/>
    <w:rsid w:val="4D84279B"/>
    <w:rsid w:val="4E864B04"/>
    <w:rsid w:val="4F474D28"/>
    <w:rsid w:val="505365E1"/>
    <w:rsid w:val="515F1555"/>
    <w:rsid w:val="52330084"/>
    <w:rsid w:val="53B7689E"/>
    <w:rsid w:val="544E765F"/>
    <w:rsid w:val="54890697"/>
    <w:rsid w:val="548C1405"/>
    <w:rsid w:val="54FF6B4C"/>
    <w:rsid w:val="55E001CE"/>
    <w:rsid w:val="56A340CF"/>
    <w:rsid w:val="574014E1"/>
    <w:rsid w:val="57C27A4A"/>
    <w:rsid w:val="58C9573F"/>
    <w:rsid w:val="58E81E30"/>
    <w:rsid w:val="5A470DD9"/>
    <w:rsid w:val="5A7F0572"/>
    <w:rsid w:val="5E9B773F"/>
    <w:rsid w:val="5EC13B82"/>
    <w:rsid w:val="5EFD45F4"/>
    <w:rsid w:val="629F44E4"/>
    <w:rsid w:val="630C7556"/>
    <w:rsid w:val="63CD4FA1"/>
    <w:rsid w:val="65566C00"/>
    <w:rsid w:val="690D1020"/>
    <w:rsid w:val="6ACF10A2"/>
    <w:rsid w:val="6B0734DC"/>
    <w:rsid w:val="6BF453B7"/>
    <w:rsid w:val="6CE1659D"/>
    <w:rsid w:val="6E1F50EF"/>
    <w:rsid w:val="6ECFA2A7"/>
    <w:rsid w:val="70F57AB6"/>
    <w:rsid w:val="71BF26A8"/>
    <w:rsid w:val="72056DC5"/>
    <w:rsid w:val="72EE623C"/>
    <w:rsid w:val="73C3376E"/>
    <w:rsid w:val="7480796C"/>
    <w:rsid w:val="749A63DC"/>
    <w:rsid w:val="7A076A26"/>
    <w:rsid w:val="7A4B5AB2"/>
    <w:rsid w:val="7ACC0C95"/>
    <w:rsid w:val="7B5D6256"/>
    <w:rsid w:val="7C7F0D44"/>
    <w:rsid w:val="7D37624B"/>
    <w:rsid w:val="7E9A525C"/>
    <w:rsid w:val="7EBB7215"/>
    <w:rsid w:val="7F3D15C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20"/>
    <w:qFormat/>
    <w:uiPriority w:val="9"/>
    <w:pPr>
      <w:keepNext/>
      <w:keepLines/>
      <w:spacing w:before="340" w:after="330" w:line="578" w:lineRule="auto"/>
      <w:outlineLvl w:val="0"/>
    </w:pPr>
    <w:rPr>
      <w:b/>
      <w:bCs/>
      <w:kern w:val="44"/>
      <w:sz w:val="44"/>
      <w:szCs w:val="44"/>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toc 3"/>
    <w:basedOn w:val="1"/>
    <w:next w:val="1"/>
    <w:semiHidden/>
    <w:unhideWhenUsed/>
    <w:qFormat/>
    <w:uiPriority w:val="39"/>
    <w:pPr>
      <w:widowControl/>
      <w:spacing w:after="100" w:line="276" w:lineRule="auto"/>
      <w:ind w:left="440"/>
      <w:jc w:val="left"/>
    </w:pPr>
    <w:rPr>
      <w:rFonts w:asciiTheme="minorHAnsi" w:hAnsiTheme="minorHAnsi" w:eastAsiaTheme="minorEastAsia" w:cstheme="minorBidi"/>
      <w:kern w:val="0"/>
      <w:sz w:val="22"/>
      <w:szCs w:val="22"/>
    </w:rPr>
  </w:style>
  <w:style w:type="paragraph" w:styleId="5">
    <w:name w:val="Body Text Indent 2"/>
    <w:basedOn w:val="1"/>
    <w:link w:val="25"/>
    <w:qFormat/>
    <w:uiPriority w:val="0"/>
    <w:pPr>
      <w:spacing w:line="480" w:lineRule="auto"/>
      <w:ind w:left="420" w:leftChars="200"/>
    </w:pPr>
    <w:rPr>
      <w:rFonts w:asciiTheme="minorHAnsi" w:hAnsiTheme="minorHAnsi" w:eastAsiaTheme="minorEastAsia" w:cstheme="minorBidi"/>
      <w:szCs w:val="24"/>
    </w:rPr>
  </w:style>
  <w:style w:type="paragraph" w:styleId="6">
    <w:name w:val="Balloon Text"/>
    <w:basedOn w:val="1"/>
    <w:link w:val="22"/>
    <w:semiHidden/>
    <w:unhideWhenUsed/>
    <w:qFormat/>
    <w:uiPriority w:val="99"/>
    <w:rPr>
      <w:sz w:val="18"/>
      <w:szCs w:val="18"/>
    </w:rPr>
  </w:style>
  <w:style w:type="paragraph" w:styleId="7">
    <w:name w:val="footer"/>
    <w:basedOn w:val="1"/>
    <w:link w:val="18"/>
    <w:qFormat/>
    <w:uiPriority w:val="99"/>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toc 1"/>
    <w:basedOn w:val="1"/>
    <w:next w:val="1"/>
    <w:unhideWhenUsed/>
    <w:qFormat/>
    <w:uiPriority w:val="39"/>
  </w:style>
  <w:style w:type="paragraph" w:styleId="10">
    <w:name w:val="Subtitle"/>
    <w:basedOn w:val="1"/>
    <w:next w:val="1"/>
    <w:link w:val="23"/>
    <w:qFormat/>
    <w:uiPriority w:val="11"/>
    <w:pPr>
      <w:spacing w:before="240" w:after="60" w:line="312" w:lineRule="auto"/>
      <w:jc w:val="center"/>
      <w:outlineLvl w:val="1"/>
    </w:pPr>
    <w:rPr>
      <w:rFonts w:asciiTheme="majorHAnsi" w:hAnsiTheme="majorHAnsi" w:cstheme="majorBidi"/>
      <w:b/>
      <w:bCs/>
      <w:kern w:val="28"/>
      <w:sz w:val="32"/>
      <w:szCs w:val="32"/>
    </w:rPr>
  </w:style>
  <w:style w:type="paragraph" w:styleId="11">
    <w:name w:val="toc 2"/>
    <w:basedOn w:val="1"/>
    <w:next w:val="1"/>
    <w:unhideWhenUsed/>
    <w:qFormat/>
    <w:uiPriority w:val="39"/>
    <w:pPr>
      <w:widowControl/>
      <w:spacing w:after="100" w:line="276" w:lineRule="auto"/>
      <w:ind w:left="220"/>
      <w:jc w:val="left"/>
    </w:pPr>
    <w:rPr>
      <w:rFonts w:asciiTheme="minorHAnsi" w:hAnsiTheme="minorHAnsi" w:eastAsiaTheme="minorEastAsia" w:cstheme="minorBidi"/>
      <w:kern w:val="0"/>
      <w:sz w:val="22"/>
      <w:szCs w:val="22"/>
    </w:rPr>
  </w:style>
  <w:style w:type="paragraph" w:styleId="12">
    <w:name w:val="Title"/>
    <w:basedOn w:val="1"/>
    <w:next w:val="1"/>
    <w:link w:val="19"/>
    <w:qFormat/>
    <w:uiPriority w:val="10"/>
    <w:pPr>
      <w:spacing w:before="240" w:after="60"/>
      <w:jc w:val="center"/>
      <w:outlineLvl w:val="0"/>
    </w:pPr>
    <w:rPr>
      <w:rFonts w:asciiTheme="majorHAnsi" w:hAnsiTheme="majorHAnsi" w:cstheme="majorBidi"/>
      <w:b/>
      <w:bCs/>
      <w:sz w:val="32"/>
      <w:szCs w:val="32"/>
    </w:rPr>
  </w:style>
  <w:style w:type="table" w:styleId="14">
    <w:name w:val="Table Grid"/>
    <w:basedOn w:val="13"/>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6">
    <w:name w:val="Hyperlink"/>
    <w:basedOn w:val="15"/>
    <w:unhideWhenUsed/>
    <w:qFormat/>
    <w:uiPriority w:val="99"/>
    <w:rPr>
      <w:color w:val="0000FF" w:themeColor="hyperlink"/>
      <w:u w:val="single"/>
    </w:rPr>
  </w:style>
  <w:style w:type="character" w:styleId="17">
    <w:name w:val="annotation reference"/>
    <w:basedOn w:val="15"/>
    <w:semiHidden/>
    <w:unhideWhenUsed/>
    <w:qFormat/>
    <w:uiPriority w:val="99"/>
    <w:rPr>
      <w:sz w:val="21"/>
      <w:szCs w:val="21"/>
    </w:rPr>
  </w:style>
  <w:style w:type="character" w:customStyle="1" w:styleId="18">
    <w:name w:val="页脚 Char"/>
    <w:basedOn w:val="15"/>
    <w:link w:val="7"/>
    <w:qFormat/>
    <w:uiPriority w:val="99"/>
    <w:rPr>
      <w:kern w:val="2"/>
      <w:sz w:val="18"/>
    </w:rPr>
  </w:style>
  <w:style w:type="character" w:customStyle="1" w:styleId="19">
    <w:name w:val="标题 Char"/>
    <w:basedOn w:val="15"/>
    <w:link w:val="12"/>
    <w:qFormat/>
    <w:uiPriority w:val="10"/>
    <w:rPr>
      <w:rFonts w:asciiTheme="majorHAnsi" w:hAnsiTheme="majorHAnsi" w:cstheme="majorBidi"/>
      <w:b/>
      <w:bCs/>
      <w:kern w:val="2"/>
      <w:sz w:val="32"/>
      <w:szCs w:val="32"/>
    </w:rPr>
  </w:style>
  <w:style w:type="character" w:customStyle="1" w:styleId="20">
    <w:name w:val="标题 1 Char"/>
    <w:basedOn w:val="15"/>
    <w:link w:val="2"/>
    <w:qFormat/>
    <w:uiPriority w:val="9"/>
    <w:rPr>
      <w:b/>
      <w:bCs/>
      <w:kern w:val="44"/>
      <w:sz w:val="44"/>
      <w:szCs w:val="44"/>
    </w:rPr>
  </w:style>
  <w:style w:type="paragraph" w:customStyle="1" w:styleId="21">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character" w:customStyle="1" w:styleId="22">
    <w:name w:val="批注框文本 Char"/>
    <w:basedOn w:val="15"/>
    <w:link w:val="6"/>
    <w:semiHidden/>
    <w:qFormat/>
    <w:uiPriority w:val="99"/>
    <w:rPr>
      <w:kern w:val="2"/>
      <w:sz w:val="18"/>
      <w:szCs w:val="18"/>
    </w:rPr>
  </w:style>
  <w:style w:type="character" w:customStyle="1" w:styleId="23">
    <w:name w:val="副标题 Char"/>
    <w:basedOn w:val="15"/>
    <w:link w:val="10"/>
    <w:qFormat/>
    <w:uiPriority w:val="11"/>
    <w:rPr>
      <w:rFonts w:asciiTheme="majorHAnsi" w:hAnsiTheme="majorHAnsi" w:cstheme="majorBidi"/>
      <w:b/>
      <w:bCs/>
      <w:kern w:val="28"/>
      <w:sz w:val="32"/>
      <w:szCs w:val="32"/>
    </w:rPr>
  </w:style>
  <w:style w:type="table" w:customStyle="1" w:styleId="24">
    <w:name w:val="网格型1"/>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5">
    <w:name w:val="正文文本缩进 2 Char"/>
    <w:basedOn w:val="15"/>
    <w:link w:val="5"/>
    <w:qFormat/>
    <w:uiPriority w:val="0"/>
    <w:rPr>
      <w:rFonts w:asciiTheme="minorHAnsi" w:hAnsiTheme="minorHAnsi" w:eastAsiaTheme="minorEastAsia" w:cstheme="minorBidi"/>
      <w:kern w:val="2"/>
      <w:sz w:val="21"/>
      <w:szCs w:val="24"/>
    </w:rPr>
  </w:style>
  <w:style w:type="table" w:customStyle="1" w:styleId="26">
    <w:name w:val="网格型2"/>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27">
    <w:name w:val="p0"/>
    <w:basedOn w:val="1"/>
    <w:qFormat/>
    <w:uiPriority w:val="0"/>
    <w:pPr>
      <w:widowControl/>
    </w:pPr>
    <w:rPr>
      <w:rFonts w:ascii="黑体" w:hAnsi="黑体" w:eastAsia="黑体" w:cs="宋体"/>
      <w:kern w:val="0"/>
      <w:szCs w:val="21"/>
    </w:rPr>
  </w:style>
  <w:style w:type="table" w:customStyle="1" w:styleId="28">
    <w:name w:val="网格型3"/>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29">
    <w:name w:val="网格型4"/>
    <w:basedOn w:val="1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0">
    <w:name w:val="网格型5"/>
    <w:basedOn w:val="1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31">
    <w:name w:val="网格型6"/>
    <w:basedOn w:val="13"/>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32">
    <w:name w:val="WPSOffice手动目录 1"/>
    <w:qFormat/>
    <w:uiPriority w:val="0"/>
    <w:rPr>
      <w:rFonts w:ascii="Times New Roman" w:hAnsi="Times New Roman" w:eastAsia="宋体" w:cs="Times New Roman"/>
      <w:lang w:val="en-US" w:eastAsia="zh-CN" w:bidi="ar-SA"/>
    </w:rPr>
  </w:style>
  <w:style w:type="paragraph" w:customStyle="1" w:styleId="33">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34">
    <w:name w:val="TOC 标题2"/>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customStyle="1" w:styleId="35">
    <w:name w:val="[基本段落]"/>
    <w:basedOn w:val="1"/>
    <w:qFormat/>
    <w:uiPriority w:val="99"/>
    <w:pPr>
      <w:autoSpaceDE w:val="0"/>
      <w:autoSpaceDN w:val="0"/>
      <w:adjustRightInd w:val="0"/>
      <w:spacing w:line="288" w:lineRule="auto"/>
      <w:textAlignment w:val="center"/>
    </w:pPr>
    <w:rPr>
      <w:rFonts w:ascii="AdobeSongStd-Light" w:eastAsia="AdobeSongStd-Light" w:cs="AdobeSongStd-Light"/>
      <w:color w:val="000000"/>
      <w:kern w:val="0"/>
      <w:sz w:val="24"/>
      <w:szCs w:val="24"/>
      <w:lang w:val="zh-CN" w:bidi="mn-Mong-C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86</Pages>
  <Words>6644</Words>
  <Characters>37871</Characters>
  <Lines>315</Lines>
  <Paragraphs>88</Paragraphs>
  <TotalTime>147</TotalTime>
  <ScaleCrop>false</ScaleCrop>
  <LinksUpToDate>false</LinksUpToDate>
  <CharactersWithSpaces>44427</CharactersWithSpaces>
  <Application>WPS Office_11.8.2.9339_F1E327BC-269C-435d-A152-05C5408002CA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2026-03-06T16:10:00Z</dcterms:created>
  <dc:creator>光阴的故事</dc:creator>
  <cp:lastModifiedBy>inspur</cp:lastModifiedBy>
  <cp:lastPrinted>2026-03-05T19:14:00Z</cp:lastPrinted>
  <dcterms:modified xsi:type="dcterms:W3CDTF">2026-06-04T17:14:13Z</dcterms:modified>
  <cp:revision>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2052-11.8.2.9339</vt:lpwstr>
  </property>
  <property fmtid="{D5CDD505-2E9C-101B-9397-08002B2CF9AE}" pid="3" name="KSOTemplateDocerSaveRecord">
    <vt:lpwstr>eyJoZGlkIjoiNDgxMzBhNTg2MjBmMzI5ZjRjOWE1ZDg4OGRhMjM2NWQiLCJ1c2VySWQiOiI0Mzk2MzkyOTQifQ==</vt:lpwstr>
  </property>
  <property fmtid="{D5CDD505-2E9C-101B-9397-08002B2CF9AE}" pid="4" name="ICV">
    <vt:lpwstr>B2E6B17E444C4914BEA526E10EE1800B_12</vt:lpwstr>
  </property>
</Properties>
</file>