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E86032">
      <w:pPr>
        <w:keepNext w:val="0"/>
        <w:keepLines w:val="0"/>
        <w:pageBreakBefore w:val="0"/>
        <w:kinsoku/>
        <w:wordWrap/>
        <w:overflowPunct/>
        <w:topLinePunct w:val="0"/>
        <w:autoSpaceDE/>
        <w:autoSpaceDN/>
        <w:bidi w:val="0"/>
        <w:adjustRightInd/>
        <w:snapToGrid w:val="0"/>
        <w:jc w:val="both"/>
        <w:textAlignment w:val="auto"/>
        <w:rPr>
          <w:rFonts w:hint="eastAsia" w:ascii="宋体" w:hAnsi="宋体" w:eastAsia="宋体" w:cs="宋体"/>
          <w:b/>
          <w:bCs/>
          <w:snapToGrid w:val="0"/>
          <w:color w:val="auto"/>
          <w:kern w:val="0"/>
          <w:sz w:val="44"/>
          <w:szCs w:val="44"/>
          <w:lang w:val="en-US" w:eastAsia="zh-CN"/>
        </w:rPr>
      </w:pPr>
    </w:p>
    <w:p w14:paraId="1A8F16AC">
      <w:pPr>
        <w:keepNext w:val="0"/>
        <w:keepLines w:val="0"/>
        <w:pageBreakBefore w:val="0"/>
        <w:kinsoku/>
        <w:wordWrap/>
        <w:overflowPunct/>
        <w:topLinePunct w:val="0"/>
        <w:autoSpaceDE/>
        <w:autoSpaceDN/>
        <w:bidi w:val="0"/>
        <w:adjustRightInd/>
        <w:snapToGrid w:val="0"/>
        <w:jc w:val="both"/>
        <w:textAlignment w:val="auto"/>
        <w:rPr>
          <w:rFonts w:hint="eastAsia" w:ascii="宋体" w:hAnsi="宋体" w:eastAsia="宋体" w:cs="宋体"/>
          <w:b/>
          <w:bCs/>
          <w:snapToGrid w:val="0"/>
          <w:color w:val="auto"/>
          <w:kern w:val="0"/>
          <w:sz w:val="44"/>
          <w:szCs w:val="44"/>
          <w:lang w:val="en-US" w:eastAsia="zh-CN"/>
        </w:rPr>
      </w:pPr>
      <w:bookmarkStart w:id="0" w:name="heading_0"/>
    </w:p>
    <w:p w14:paraId="284A1C9C">
      <w:pPr>
        <w:keepNext w:val="0"/>
        <w:keepLines w:val="0"/>
        <w:pageBreakBefore w:val="0"/>
        <w:kinsoku/>
        <w:wordWrap/>
        <w:overflowPunct/>
        <w:topLinePunct w:val="0"/>
        <w:autoSpaceDE/>
        <w:autoSpaceDN/>
        <w:bidi w:val="0"/>
        <w:adjustRightInd/>
        <w:snapToGrid w:val="0"/>
        <w:jc w:val="both"/>
        <w:textAlignment w:val="auto"/>
        <w:rPr>
          <w:rFonts w:hint="eastAsia" w:ascii="宋体" w:hAnsi="宋体" w:eastAsia="宋体" w:cs="宋体"/>
          <w:b/>
          <w:bCs/>
          <w:snapToGrid w:val="0"/>
          <w:color w:val="auto"/>
          <w:kern w:val="0"/>
          <w:sz w:val="44"/>
          <w:szCs w:val="44"/>
          <w:lang w:val="en-US" w:eastAsia="zh-CN"/>
        </w:rPr>
      </w:pPr>
    </w:p>
    <w:p w14:paraId="34407063">
      <w:pPr>
        <w:keepNext w:val="0"/>
        <w:keepLines w:val="0"/>
        <w:pageBreakBefore w:val="0"/>
        <w:kinsoku/>
        <w:wordWrap/>
        <w:overflowPunct/>
        <w:topLinePunct w:val="0"/>
        <w:autoSpaceDE/>
        <w:autoSpaceDN/>
        <w:bidi w:val="0"/>
        <w:adjustRightInd/>
        <w:snapToGrid w:val="0"/>
        <w:jc w:val="both"/>
        <w:textAlignment w:val="auto"/>
        <w:rPr>
          <w:rFonts w:hint="eastAsia" w:ascii="宋体" w:hAnsi="宋体" w:eastAsia="宋体" w:cs="宋体"/>
          <w:b/>
          <w:bCs/>
          <w:snapToGrid w:val="0"/>
          <w:color w:val="auto"/>
          <w:kern w:val="0"/>
          <w:sz w:val="44"/>
          <w:szCs w:val="44"/>
          <w:lang w:val="en-US" w:eastAsia="zh-CN"/>
        </w:rPr>
      </w:pPr>
    </w:p>
    <w:p w14:paraId="0E44C60B">
      <w:pPr>
        <w:keepNext w:val="0"/>
        <w:keepLines w:val="0"/>
        <w:pageBreakBefore w:val="0"/>
        <w:kinsoku/>
        <w:wordWrap/>
        <w:overflowPunct/>
        <w:topLinePunct w:val="0"/>
        <w:autoSpaceDE/>
        <w:autoSpaceDN/>
        <w:bidi w:val="0"/>
        <w:adjustRightInd/>
        <w:snapToGrid w:val="0"/>
        <w:jc w:val="both"/>
        <w:textAlignment w:val="auto"/>
        <w:rPr>
          <w:rFonts w:hint="eastAsia" w:ascii="宋体" w:hAnsi="宋体" w:eastAsia="宋体" w:cs="宋体"/>
          <w:b/>
          <w:bCs/>
          <w:snapToGrid w:val="0"/>
          <w:color w:val="auto"/>
          <w:kern w:val="0"/>
          <w:sz w:val="44"/>
          <w:szCs w:val="44"/>
          <w:lang w:val="en-US" w:eastAsia="zh-CN"/>
        </w:rPr>
      </w:pPr>
    </w:p>
    <w:p w14:paraId="5159D882">
      <w:pPr>
        <w:keepNext w:val="0"/>
        <w:keepLines w:val="0"/>
        <w:pageBreakBefore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根河市3·20一般道路交通事故调查报告</w:t>
      </w:r>
    </w:p>
    <w:p w14:paraId="434C07BB">
      <w:pPr>
        <w:keepNext w:val="0"/>
        <w:keepLines w:val="0"/>
        <w:pageBreakBefore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b w:val="0"/>
          <w:bCs w:val="0"/>
          <w:sz w:val="44"/>
          <w:szCs w:val="44"/>
          <w:lang w:val="en-US" w:eastAsia="zh-CN"/>
        </w:rPr>
      </w:pPr>
    </w:p>
    <w:p w14:paraId="1223043A">
      <w:pPr>
        <w:pStyle w:val="8"/>
        <w:keepNext w:val="0"/>
        <w:keepLines w:val="0"/>
        <w:pageBreakBefore w:val="0"/>
        <w:kinsoku/>
        <w:wordWrap/>
        <w:overflowPunct/>
        <w:topLinePunct w:val="0"/>
        <w:autoSpaceDE/>
        <w:autoSpaceDN/>
        <w:bidi w:val="0"/>
        <w:adjustRightInd/>
        <w:snapToGrid w:val="0"/>
        <w:spacing w:after="0"/>
        <w:jc w:val="both"/>
        <w:textAlignment w:val="auto"/>
        <w:rPr>
          <w:rFonts w:hint="eastAsia" w:ascii="宋体" w:hAnsi="宋体" w:eastAsia="宋体" w:cs="宋体"/>
          <w:b/>
          <w:bCs/>
          <w:snapToGrid w:val="0"/>
          <w:color w:val="auto"/>
          <w:kern w:val="0"/>
          <w:sz w:val="44"/>
          <w:szCs w:val="44"/>
          <w:highlight w:val="none"/>
          <w:lang w:val="en-US" w:eastAsia="zh-CN"/>
        </w:rPr>
      </w:pPr>
    </w:p>
    <w:p w14:paraId="367F6696">
      <w:pPr>
        <w:pStyle w:val="8"/>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3B062827">
      <w:pPr>
        <w:pStyle w:val="8"/>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5D3FAD96">
      <w:pPr>
        <w:pStyle w:val="8"/>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083B929D">
      <w:pPr>
        <w:pStyle w:val="8"/>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72B37EE2">
      <w:pPr>
        <w:pStyle w:val="8"/>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13862748">
      <w:pPr>
        <w:pStyle w:val="8"/>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69C0BF90">
      <w:pPr>
        <w:pStyle w:val="8"/>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56F44EB2">
      <w:pPr>
        <w:pStyle w:val="8"/>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2EA14C86">
      <w:pPr>
        <w:pStyle w:val="8"/>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7EC7CF34">
      <w:pPr>
        <w:pStyle w:val="8"/>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74791D5D">
      <w:pPr>
        <w:pStyle w:val="8"/>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041A5979">
      <w:pPr>
        <w:pStyle w:val="8"/>
        <w:keepNext w:val="0"/>
        <w:keepLines w:val="0"/>
        <w:pageBreakBefore w:val="0"/>
        <w:kinsoku/>
        <w:wordWrap/>
        <w:overflowPunct/>
        <w:topLinePunct w:val="0"/>
        <w:autoSpaceDE/>
        <w:autoSpaceDN/>
        <w:bidi w:val="0"/>
        <w:adjustRightInd/>
        <w:snapToGrid w:val="0"/>
        <w:spacing w:after="0"/>
        <w:ind w:left="0" w:leftChars="0" w:firstLine="0" w:firstLineChars="0"/>
        <w:jc w:val="both"/>
        <w:textAlignment w:val="auto"/>
        <w:rPr>
          <w:rFonts w:hint="eastAsia" w:ascii="宋体" w:hAnsi="宋体" w:eastAsia="宋体" w:cs="宋体"/>
          <w:b/>
          <w:bCs/>
          <w:snapToGrid w:val="0"/>
          <w:color w:val="auto"/>
          <w:kern w:val="0"/>
          <w:sz w:val="36"/>
          <w:szCs w:val="36"/>
          <w:highlight w:val="none"/>
          <w:lang w:val="en-US" w:eastAsia="zh-CN"/>
        </w:rPr>
      </w:pPr>
    </w:p>
    <w:p w14:paraId="41B63504">
      <w:pPr>
        <w:keepNext w:val="0"/>
        <w:keepLines w:val="0"/>
        <w:pageBreakBefore w:val="0"/>
        <w:kinsoku/>
        <w:wordWrap/>
        <w:overflowPunct/>
        <w:topLinePunct w:val="0"/>
        <w:autoSpaceDE/>
        <w:autoSpaceDN/>
        <w:bidi w:val="0"/>
        <w:adjustRightInd/>
        <w:snapToGrid w:val="0"/>
        <w:spacing w:line="360" w:lineRule="auto"/>
        <w:ind w:firstLine="1285" w:firstLineChars="400"/>
        <w:jc w:val="center"/>
        <w:textAlignment w:val="auto"/>
        <w:rPr>
          <w:rFonts w:hint="eastAsia" w:ascii="仿宋" w:hAnsi="仿宋" w:eastAsia="仿宋" w:cs="仿宋"/>
          <w:b/>
          <w:snapToGrid w:val="0"/>
          <w:color w:val="auto"/>
          <w:kern w:val="0"/>
          <w:sz w:val="32"/>
          <w:szCs w:val="32"/>
          <w:highlight w:val="none"/>
        </w:rPr>
      </w:pPr>
    </w:p>
    <w:p w14:paraId="1B7E9761">
      <w:pPr>
        <w:keepNext w:val="0"/>
        <w:keepLines w:val="0"/>
        <w:pageBreakBefore w:val="0"/>
        <w:kinsoku/>
        <w:wordWrap/>
        <w:overflowPunct/>
        <w:topLinePunct w:val="0"/>
        <w:autoSpaceDE/>
        <w:autoSpaceDN/>
        <w:bidi w:val="0"/>
        <w:adjustRightInd/>
        <w:snapToGrid w:val="0"/>
        <w:spacing w:line="360" w:lineRule="auto"/>
        <w:ind w:firstLine="1285" w:firstLineChars="400"/>
        <w:jc w:val="center"/>
        <w:textAlignment w:val="auto"/>
        <w:rPr>
          <w:rFonts w:hint="eastAsia" w:ascii="仿宋" w:hAnsi="仿宋" w:eastAsia="仿宋" w:cs="仿宋"/>
          <w:b/>
          <w:snapToGrid w:val="0"/>
          <w:color w:val="auto"/>
          <w:kern w:val="0"/>
          <w:sz w:val="32"/>
          <w:szCs w:val="32"/>
          <w:highlight w:val="none"/>
        </w:rPr>
      </w:pPr>
    </w:p>
    <w:p w14:paraId="3FF41445">
      <w:pPr>
        <w:keepNext w:val="0"/>
        <w:keepLines w:val="0"/>
        <w:pageBreakBefore w:val="0"/>
        <w:kinsoku/>
        <w:wordWrap/>
        <w:overflowPunct/>
        <w:topLinePunct w:val="0"/>
        <w:autoSpaceDE/>
        <w:autoSpaceDN/>
        <w:bidi w:val="0"/>
        <w:adjustRightInd/>
        <w:snapToGrid w:val="0"/>
        <w:spacing w:line="360" w:lineRule="auto"/>
        <w:jc w:val="center"/>
        <w:textAlignment w:val="auto"/>
        <w:rPr>
          <w:rFonts w:ascii="仿宋" w:hAnsi="仿宋" w:eastAsia="仿宋" w:cs="仿宋"/>
          <w:b/>
          <w:snapToGrid w:val="0"/>
          <w:color w:val="auto"/>
          <w:kern w:val="0"/>
          <w:sz w:val="32"/>
          <w:szCs w:val="32"/>
          <w:highlight w:val="none"/>
        </w:rPr>
      </w:pPr>
      <w:r>
        <w:rPr>
          <w:rFonts w:hint="eastAsia" w:ascii="仿宋" w:hAnsi="仿宋" w:eastAsia="仿宋" w:cs="仿宋"/>
          <w:b/>
          <w:snapToGrid w:val="0"/>
          <w:color w:val="auto"/>
          <w:kern w:val="0"/>
          <w:sz w:val="32"/>
          <w:szCs w:val="32"/>
          <w:highlight w:val="none"/>
        </w:rPr>
        <w:t>编制单位：</w:t>
      </w:r>
      <w:r>
        <w:rPr>
          <w:rFonts w:hint="eastAsia" w:ascii="仿宋" w:hAnsi="仿宋" w:eastAsia="仿宋" w:cs="仿宋"/>
          <w:b/>
          <w:snapToGrid w:val="0"/>
          <w:color w:val="auto"/>
          <w:kern w:val="0"/>
          <w:sz w:val="32"/>
          <w:szCs w:val="32"/>
          <w:highlight w:val="none"/>
          <w:lang w:val="en-US" w:eastAsia="zh-CN"/>
        </w:rPr>
        <w:t>根河</w:t>
      </w:r>
      <w:r>
        <w:rPr>
          <w:rFonts w:hint="eastAsia" w:ascii="仿宋" w:hAnsi="仿宋" w:eastAsia="仿宋" w:cs="仿宋"/>
          <w:b/>
          <w:snapToGrid w:val="0"/>
          <w:color w:val="auto"/>
          <w:kern w:val="0"/>
          <w:sz w:val="32"/>
          <w:szCs w:val="32"/>
          <w:highlight w:val="none"/>
        </w:rPr>
        <w:t>市人民政府事故调查组</w:t>
      </w:r>
    </w:p>
    <w:p w14:paraId="7324668C">
      <w:pPr>
        <w:pStyle w:val="8"/>
        <w:keepNext w:val="0"/>
        <w:keepLines w:val="0"/>
        <w:pageBreakBefore w:val="0"/>
        <w:kinsoku/>
        <w:wordWrap/>
        <w:overflowPunct/>
        <w:topLinePunct w:val="0"/>
        <w:autoSpaceDE/>
        <w:autoSpaceDN/>
        <w:bidi w:val="0"/>
        <w:adjustRightInd/>
        <w:snapToGrid w:val="0"/>
        <w:spacing w:after="0"/>
        <w:ind w:left="0" w:leftChars="0" w:firstLine="0" w:firstLineChars="0"/>
        <w:jc w:val="center"/>
        <w:textAlignment w:val="auto"/>
        <w:rPr>
          <w:rFonts w:hint="eastAsia" w:ascii="宋体" w:hAnsi="宋体" w:eastAsia="仿宋" w:cs="宋体"/>
          <w:b/>
          <w:bCs/>
          <w:snapToGrid w:val="0"/>
          <w:color w:val="auto"/>
          <w:kern w:val="0"/>
          <w:sz w:val="36"/>
          <w:szCs w:val="36"/>
          <w:highlight w:val="none"/>
          <w:lang w:val="en-US" w:eastAsia="zh-CN"/>
        </w:rPr>
      </w:pPr>
      <w:r>
        <w:rPr>
          <w:rFonts w:hint="eastAsia" w:ascii="仿宋" w:hAnsi="仿宋" w:eastAsia="仿宋" w:cs="仿宋"/>
          <w:b/>
          <w:snapToGrid w:val="0"/>
          <w:color w:val="auto"/>
          <w:kern w:val="0"/>
          <w:sz w:val="32"/>
          <w:szCs w:val="32"/>
          <w:highlight w:val="none"/>
        </w:rPr>
        <w:t>编制日期：202</w:t>
      </w:r>
      <w:r>
        <w:rPr>
          <w:rFonts w:hint="eastAsia" w:ascii="仿宋" w:hAnsi="仿宋" w:cs="仿宋"/>
          <w:b/>
          <w:snapToGrid w:val="0"/>
          <w:color w:val="auto"/>
          <w:kern w:val="0"/>
          <w:sz w:val="32"/>
          <w:szCs w:val="32"/>
          <w:highlight w:val="none"/>
          <w:lang w:val="en-US" w:eastAsia="zh-CN"/>
        </w:rPr>
        <w:t>6</w:t>
      </w:r>
      <w:r>
        <w:rPr>
          <w:rFonts w:hint="eastAsia" w:ascii="仿宋" w:hAnsi="仿宋" w:eastAsia="仿宋" w:cs="仿宋"/>
          <w:b/>
          <w:snapToGrid w:val="0"/>
          <w:color w:val="auto"/>
          <w:kern w:val="0"/>
          <w:sz w:val="32"/>
          <w:szCs w:val="32"/>
          <w:highlight w:val="none"/>
        </w:rPr>
        <w:t>年</w:t>
      </w:r>
      <w:r>
        <w:rPr>
          <w:rFonts w:hint="eastAsia" w:ascii="仿宋" w:hAnsi="仿宋" w:cs="仿宋"/>
          <w:b/>
          <w:snapToGrid w:val="0"/>
          <w:color w:val="auto"/>
          <w:kern w:val="0"/>
          <w:sz w:val="32"/>
          <w:szCs w:val="32"/>
          <w:highlight w:val="none"/>
          <w:lang w:val="en-US" w:eastAsia="zh-CN"/>
        </w:rPr>
        <w:t>6</w:t>
      </w:r>
      <w:r>
        <w:rPr>
          <w:rFonts w:hint="eastAsia" w:ascii="仿宋" w:hAnsi="仿宋" w:eastAsia="仿宋" w:cs="仿宋"/>
          <w:b/>
          <w:snapToGrid w:val="0"/>
          <w:color w:val="auto"/>
          <w:kern w:val="0"/>
          <w:sz w:val="32"/>
          <w:szCs w:val="32"/>
          <w:highlight w:val="none"/>
        </w:rPr>
        <w:t>月</w:t>
      </w:r>
      <w:r>
        <w:rPr>
          <w:rFonts w:hint="eastAsia" w:ascii="仿宋" w:hAnsi="仿宋" w:eastAsia="仿宋" w:cs="仿宋"/>
          <w:b/>
          <w:snapToGrid w:val="0"/>
          <w:color w:val="auto"/>
          <w:kern w:val="0"/>
          <w:sz w:val="32"/>
          <w:szCs w:val="32"/>
          <w:highlight w:val="none"/>
          <w:lang w:val="en-US" w:eastAsia="zh-CN"/>
        </w:rPr>
        <w:t>1</w:t>
      </w:r>
      <w:r>
        <w:rPr>
          <w:rFonts w:hint="eastAsia" w:ascii="仿宋" w:hAnsi="仿宋" w:cs="仿宋"/>
          <w:b/>
          <w:snapToGrid w:val="0"/>
          <w:color w:val="auto"/>
          <w:kern w:val="0"/>
          <w:sz w:val="32"/>
          <w:szCs w:val="32"/>
          <w:highlight w:val="none"/>
          <w:lang w:val="en-US" w:eastAsia="zh-CN"/>
        </w:rPr>
        <w:t>6日</w:t>
      </w:r>
    </w:p>
    <w:p w14:paraId="1D730DFC">
      <w:pPr>
        <w:keepNext w:val="0"/>
        <w:keepLines w:val="0"/>
        <w:pageBreakBefore w:val="0"/>
        <w:kinsoku/>
        <w:wordWrap/>
        <w:overflowPunct/>
        <w:topLinePunct w:val="0"/>
        <w:autoSpaceDE/>
        <w:autoSpaceDN/>
        <w:bidi w:val="0"/>
        <w:adjustRightInd/>
        <w:snapToGrid w:val="0"/>
        <w:spacing w:before="0" w:line="240" w:lineRule="auto"/>
        <w:ind w:left="0" w:leftChars="0" w:right="0" w:rightChars="0" w:firstLine="0" w:firstLineChars="0"/>
        <w:jc w:val="both"/>
        <w:textAlignment w:val="auto"/>
        <w:rPr>
          <w:rFonts w:ascii="宋体" w:hAnsi="宋体" w:eastAsia="宋体" w:cstheme="minorBidi"/>
          <w:snapToGrid w:val="0"/>
          <w:color w:val="auto"/>
          <w:kern w:val="0"/>
          <w:sz w:val="21"/>
          <w:szCs w:val="24"/>
          <w:highlight w:val="none"/>
          <w:lang w:val="en-US" w:eastAsia="zh-CN" w:bidi="ar-SA"/>
        </w:rPr>
      </w:pPr>
    </w:p>
    <w:p w14:paraId="72783931">
      <w:pPr>
        <w:keepNext w:val="0"/>
        <w:keepLines w:val="0"/>
        <w:pageBreakBefore w:val="0"/>
        <w:kinsoku/>
        <w:wordWrap/>
        <w:overflowPunct/>
        <w:topLinePunct w:val="0"/>
        <w:autoSpaceDE/>
        <w:autoSpaceDN/>
        <w:bidi w:val="0"/>
        <w:adjustRightInd/>
        <w:snapToGrid w:val="0"/>
        <w:spacing w:before="0" w:line="240" w:lineRule="auto"/>
        <w:ind w:left="0" w:leftChars="0" w:right="0" w:rightChars="0" w:firstLine="0" w:firstLineChars="0"/>
        <w:jc w:val="both"/>
        <w:textAlignment w:val="auto"/>
        <w:rPr>
          <w:rFonts w:ascii="宋体" w:hAnsi="宋体" w:eastAsia="宋体" w:cstheme="minorBidi"/>
          <w:snapToGrid w:val="0"/>
          <w:color w:val="auto"/>
          <w:kern w:val="0"/>
          <w:sz w:val="21"/>
          <w:szCs w:val="24"/>
          <w:highlight w:val="none"/>
          <w:lang w:val="en-US" w:eastAsia="zh-CN" w:bidi="ar-SA"/>
        </w:rPr>
      </w:pPr>
    </w:p>
    <w:p w14:paraId="07B79844">
      <w:pPr>
        <w:keepNext w:val="0"/>
        <w:keepLines w:val="0"/>
        <w:pageBreakBefore w:val="0"/>
        <w:kinsoku/>
        <w:wordWrap/>
        <w:overflowPunct/>
        <w:topLinePunct w:val="0"/>
        <w:autoSpaceDE/>
        <w:autoSpaceDN/>
        <w:bidi w:val="0"/>
        <w:adjustRightInd/>
        <w:snapToGrid w:val="0"/>
        <w:spacing w:before="0" w:line="240" w:lineRule="auto"/>
        <w:ind w:left="0" w:leftChars="0" w:right="0" w:rightChars="0" w:firstLine="0" w:firstLineChars="0"/>
        <w:jc w:val="both"/>
        <w:textAlignment w:val="auto"/>
        <w:rPr>
          <w:rFonts w:ascii="宋体" w:hAnsi="宋体" w:eastAsia="宋体" w:cstheme="minorBidi"/>
          <w:snapToGrid w:val="0"/>
          <w:color w:val="auto"/>
          <w:kern w:val="0"/>
          <w:sz w:val="21"/>
          <w:szCs w:val="24"/>
          <w:highlight w:val="none"/>
          <w:lang w:val="en-US" w:eastAsia="zh-CN" w:bidi="ar-SA"/>
        </w:rPr>
      </w:pPr>
    </w:p>
    <w:p w14:paraId="3EA12D81">
      <w:pPr>
        <w:keepNext w:val="0"/>
        <w:keepLines w:val="0"/>
        <w:pageBreakBefore w:val="0"/>
        <w:kinsoku/>
        <w:wordWrap/>
        <w:overflowPunct/>
        <w:topLinePunct w:val="0"/>
        <w:autoSpaceDE/>
        <w:autoSpaceDN/>
        <w:bidi w:val="0"/>
        <w:adjustRightInd/>
        <w:snapToGrid w:val="0"/>
        <w:spacing w:before="0" w:line="240" w:lineRule="auto"/>
        <w:ind w:left="0" w:leftChars="0" w:right="0" w:rightChars="0" w:firstLine="0" w:firstLineChars="0"/>
        <w:jc w:val="both"/>
        <w:textAlignment w:val="auto"/>
        <w:rPr>
          <w:rFonts w:ascii="宋体" w:hAnsi="宋体" w:eastAsia="宋体" w:cstheme="minorBidi"/>
          <w:snapToGrid w:val="0"/>
          <w:color w:val="auto"/>
          <w:kern w:val="0"/>
          <w:sz w:val="21"/>
          <w:szCs w:val="24"/>
          <w:highlight w:val="none"/>
          <w:lang w:val="en-US" w:eastAsia="zh-CN" w:bidi="ar-SA"/>
        </w:rPr>
      </w:pPr>
    </w:p>
    <w:p w14:paraId="49EF3D64">
      <w:pPr>
        <w:keepNext w:val="0"/>
        <w:keepLines w:val="0"/>
        <w:pageBreakBefore w:val="0"/>
        <w:kinsoku/>
        <w:wordWrap/>
        <w:overflowPunct/>
        <w:topLinePunct w:val="0"/>
        <w:autoSpaceDE/>
        <w:autoSpaceDN/>
        <w:bidi w:val="0"/>
        <w:adjustRightInd/>
        <w:snapToGrid w:val="0"/>
        <w:spacing w:before="0" w:line="240" w:lineRule="auto"/>
        <w:ind w:left="0" w:leftChars="0" w:right="0" w:rightChars="0" w:firstLine="0" w:firstLineChars="0"/>
        <w:jc w:val="both"/>
        <w:textAlignment w:val="auto"/>
        <w:rPr>
          <w:rFonts w:ascii="宋体" w:hAnsi="宋体" w:eastAsia="宋体" w:cstheme="minorBidi"/>
          <w:snapToGrid w:val="0"/>
          <w:color w:val="auto"/>
          <w:kern w:val="0"/>
          <w:sz w:val="21"/>
          <w:szCs w:val="24"/>
          <w:highlight w:val="none"/>
          <w:lang w:val="en-US" w:eastAsia="zh-CN" w:bidi="ar-SA"/>
        </w:rPr>
        <w:sectPr>
          <w:pgSz w:w="11906" w:h="16838"/>
          <w:pgMar w:top="1440" w:right="1800" w:bottom="1440" w:left="1800" w:header="851" w:footer="992" w:gutter="0"/>
          <w:pgNumType w:fmt="decimal"/>
          <w:cols w:space="425" w:num="1"/>
          <w:docGrid w:type="lines" w:linePitch="312" w:charSpace="0"/>
        </w:sectPr>
      </w:pPr>
    </w:p>
    <w:sdt>
      <w:sdtPr>
        <w:rPr>
          <w:rFonts w:hint="eastAsia" w:ascii="黑体" w:hAnsi="黑体" w:eastAsia="黑体" w:cs="黑体"/>
          <w:sz w:val="32"/>
          <w:szCs w:val="32"/>
        </w:rPr>
        <w:id w:val="147457224"/>
        <w15:color w:val="DBDBDB"/>
        <w:docPartObj>
          <w:docPartGallery w:val="Table of Contents"/>
          <w:docPartUnique/>
        </w:docPartObj>
      </w:sdtPr>
      <w:sdtEndPr>
        <w:rPr>
          <w:rFonts w:hint="eastAsia" w:ascii="黑体" w:hAnsi="黑体" w:eastAsia="黑体" w:cs="黑体"/>
          <w:sz w:val="32"/>
          <w:szCs w:val="32"/>
        </w:rPr>
      </w:sdtEndPr>
      <w:sdtContent>
        <w:p w14:paraId="2FA8CB45">
          <w:pPr>
            <w:spacing w:before="0" w:beforeLines="0" w:after="0" w:afterLines="0" w:line="240" w:lineRule="auto"/>
            <w:ind w:left="0" w:leftChars="0" w:right="0" w:rightChars="0" w:firstLine="0" w:firstLineChars="0"/>
            <w:jc w:val="center"/>
            <w:rPr>
              <w:rFonts w:hint="eastAsia" w:ascii="黑体" w:hAnsi="黑体" w:eastAsia="黑体" w:cs="黑体"/>
              <w:sz w:val="32"/>
              <w:szCs w:val="32"/>
            </w:rPr>
          </w:pPr>
          <w:bookmarkStart w:id="1" w:name="_Toc16562"/>
          <w:bookmarkStart w:id="2" w:name="_Toc10459"/>
          <w:bookmarkStart w:id="3" w:name="_Toc20137"/>
        </w:p>
        <w:sdt>
          <w:sdtPr>
            <w:rPr>
              <w:rFonts w:hint="eastAsia" w:ascii="方正小标宋简体" w:hAnsi="方正小标宋简体" w:eastAsia="方正小标宋简体" w:cs="方正小标宋简体"/>
              <w:b w:val="0"/>
              <w:bCs w:val="0"/>
              <w:snapToGrid w:val="0"/>
              <w:color w:val="auto"/>
              <w:kern w:val="0"/>
              <w:sz w:val="48"/>
              <w:szCs w:val="48"/>
              <w:highlight w:val="none"/>
              <w:lang w:val="en-US" w:eastAsia="zh-CN" w:bidi="ar-SA"/>
            </w:rPr>
            <w:id w:val="147455959"/>
            <w15:color w:val="DBDBDB"/>
            <w:docPartObj>
              <w:docPartGallery w:val="Table of Contents"/>
              <w:docPartUnique/>
            </w:docPartObj>
          </w:sdtPr>
          <w:sdtEndPr>
            <w:rPr>
              <w:rFonts w:hint="eastAsia" w:ascii="宋体" w:hAnsi="宋体" w:eastAsia="宋体" w:cs="宋体"/>
              <w:b/>
              <w:bCs/>
              <w:snapToGrid w:val="0"/>
              <w:color w:val="auto"/>
              <w:kern w:val="0"/>
              <w:sz w:val="21"/>
              <w:szCs w:val="44"/>
              <w:highlight w:val="none"/>
              <w:lang w:val="en-US" w:eastAsia="zh-CN" w:bidi="ar-SA"/>
            </w:rPr>
          </w:sdtEndPr>
          <w:sdtContent>
            <w:p w14:paraId="66802D16">
              <w:pPr>
                <w:keepNext w:val="0"/>
                <w:keepLines w:val="0"/>
                <w:pageBreakBefore w:val="0"/>
                <w:widowControl w:val="0"/>
                <w:kinsoku/>
                <w:wordWrap/>
                <w:overflowPunct/>
                <w:topLinePunct w:val="0"/>
                <w:autoSpaceDE/>
                <w:autoSpaceDN/>
                <w:bidi w:val="0"/>
                <w:adjustRightInd/>
                <w:snapToGrid w:val="0"/>
                <w:spacing w:before="0" w:line="520" w:lineRule="exact"/>
                <w:ind w:left="0" w:leftChars="0" w:right="0" w:rightChars="0" w:firstLine="0" w:firstLineChars="0"/>
                <w:jc w:val="center"/>
                <w:textAlignment w:val="auto"/>
                <w:rPr>
                  <w:rFonts w:hint="eastAsia" w:ascii="方正小标宋简体" w:hAnsi="方正小标宋简体" w:eastAsia="方正小标宋简体" w:cs="方正小标宋简体"/>
                  <w:b w:val="0"/>
                  <w:bCs w:val="0"/>
                  <w:snapToGrid w:val="0"/>
                  <w:color w:val="auto"/>
                  <w:kern w:val="0"/>
                  <w:sz w:val="48"/>
                  <w:szCs w:val="48"/>
                  <w:highlight w:val="none"/>
                </w:rPr>
              </w:pPr>
              <w:r>
                <w:rPr>
                  <w:rFonts w:hint="eastAsia" w:ascii="方正小标宋简体" w:hAnsi="方正小标宋简体" w:eastAsia="方正小标宋简体" w:cs="方正小标宋简体"/>
                  <w:b w:val="0"/>
                  <w:bCs w:val="0"/>
                  <w:snapToGrid w:val="0"/>
                  <w:color w:val="auto"/>
                  <w:kern w:val="0"/>
                  <w:sz w:val="48"/>
                  <w:szCs w:val="48"/>
                  <w:highlight w:val="none"/>
                </w:rPr>
                <w:t>目</w:t>
              </w:r>
              <w:r>
                <w:rPr>
                  <w:rFonts w:hint="eastAsia" w:ascii="方正小标宋简体" w:hAnsi="方正小标宋简体" w:eastAsia="方正小标宋简体" w:cs="方正小标宋简体"/>
                  <w:b w:val="0"/>
                  <w:bCs w:val="0"/>
                  <w:snapToGrid w:val="0"/>
                  <w:color w:val="auto"/>
                  <w:kern w:val="0"/>
                  <w:sz w:val="48"/>
                  <w:szCs w:val="48"/>
                  <w:highlight w:val="none"/>
                  <w:lang w:val="en-US" w:eastAsia="zh-CN"/>
                </w:rPr>
                <w:t xml:space="preserve">  </w:t>
              </w:r>
              <w:r>
                <w:rPr>
                  <w:rFonts w:hint="eastAsia" w:ascii="方正小标宋简体" w:hAnsi="方正小标宋简体" w:eastAsia="方正小标宋简体" w:cs="方正小标宋简体"/>
                  <w:b w:val="0"/>
                  <w:bCs w:val="0"/>
                  <w:snapToGrid w:val="0"/>
                  <w:color w:val="auto"/>
                  <w:kern w:val="0"/>
                  <w:sz w:val="48"/>
                  <w:szCs w:val="48"/>
                  <w:highlight w:val="none"/>
                </w:rPr>
                <w:t>录</w:t>
              </w:r>
            </w:p>
            <w:p w14:paraId="0FFD4D44">
              <w:pPr>
                <w:pStyle w:val="6"/>
                <w:tabs>
                  <w:tab w:val="right" w:leader="dot" w:pos="8305"/>
                </w:tabs>
                <w:rPr>
                  <w:rFonts w:hint="eastAsia" w:ascii="仿宋" w:hAnsi="仿宋" w:eastAsia="仿宋" w:cs="仿宋"/>
                  <w:sz w:val="32"/>
                  <w:szCs w:val="36"/>
                </w:rPr>
              </w:pPr>
              <w:r>
                <w:rPr>
                  <w:rFonts w:hint="eastAsia" w:ascii="仿宋" w:hAnsi="仿宋" w:eastAsia="仿宋" w:cs="仿宋"/>
                  <w:b/>
                  <w:bCs/>
                  <w:snapToGrid w:val="0"/>
                  <w:color w:val="auto"/>
                  <w:kern w:val="0"/>
                  <w:sz w:val="48"/>
                  <w:szCs w:val="48"/>
                  <w:highlight w:val="none"/>
                  <w:lang w:val="en-US" w:eastAsia="zh-CN"/>
                </w:rPr>
                <w:fldChar w:fldCharType="begin"/>
              </w:r>
              <w:r>
                <w:rPr>
                  <w:rFonts w:hint="eastAsia" w:ascii="仿宋" w:hAnsi="仿宋" w:eastAsia="仿宋" w:cs="仿宋"/>
                  <w:b/>
                  <w:bCs/>
                  <w:snapToGrid w:val="0"/>
                  <w:color w:val="auto"/>
                  <w:kern w:val="0"/>
                  <w:sz w:val="48"/>
                  <w:szCs w:val="48"/>
                  <w:highlight w:val="none"/>
                  <w:lang w:val="en-US" w:eastAsia="zh-CN"/>
                </w:rPr>
                <w:instrText xml:space="preserve">TOC \o "1-2" \h \u </w:instrText>
              </w:r>
              <w:r>
                <w:rPr>
                  <w:rFonts w:hint="eastAsia" w:ascii="仿宋" w:hAnsi="仿宋" w:eastAsia="仿宋" w:cs="仿宋"/>
                  <w:b/>
                  <w:bCs/>
                  <w:snapToGrid w:val="0"/>
                  <w:color w:val="auto"/>
                  <w:kern w:val="0"/>
                  <w:sz w:val="48"/>
                  <w:szCs w:val="48"/>
                  <w:highlight w:val="none"/>
                  <w:lang w:val="en-US" w:eastAsia="zh-CN"/>
                </w:rPr>
                <w:fldChar w:fldCharType="separate"/>
              </w: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_Toc30313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snapToGrid w:val="0"/>
                  <w:kern w:val="0"/>
                  <w:sz w:val="32"/>
                  <w:szCs w:val="48"/>
                  <w:highlight w:val="none"/>
                  <w:lang w:val="en-US" w:eastAsia="zh-CN"/>
                </w:rPr>
                <w:t>一、报告开篇和事故性质认定</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_Toc30313 \h </w:instrText>
              </w:r>
              <w:r>
                <w:rPr>
                  <w:rFonts w:hint="eastAsia" w:ascii="仿宋" w:hAnsi="仿宋" w:eastAsia="仿宋" w:cs="仿宋"/>
                  <w:sz w:val="32"/>
                  <w:szCs w:val="36"/>
                </w:rPr>
                <w:fldChar w:fldCharType="separate"/>
              </w:r>
              <w:r>
                <w:rPr>
                  <w:rFonts w:hint="eastAsia" w:ascii="仿宋" w:hAnsi="仿宋" w:eastAsia="仿宋" w:cs="仿宋"/>
                  <w:sz w:val="32"/>
                  <w:szCs w:val="36"/>
                </w:rPr>
                <w:t>1</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45ACCE19">
              <w:pPr>
                <w:pStyle w:val="6"/>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_Toc26121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snapToGrid w:val="0"/>
                  <w:kern w:val="0"/>
                  <w:sz w:val="32"/>
                  <w:szCs w:val="48"/>
                  <w:highlight w:val="none"/>
                  <w:lang w:val="en-US" w:eastAsia="zh-CN" w:bidi="ar-SA"/>
                </w:rPr>
                <w:t>二、事故基本情况</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_Toc26121 \h </w:instrText>
              </w:r>
              <w:r>
                <w:rPr>
                  <w:rFonts w:hint="eastAsia" w:ascii="仿宋" w:hAnsi="仿宋" w:eastAsia="仿宋" w:cs="仿宋"/>
                  <w:sz w:val="32"/>
                  <w:szCs w:val="36"/>
                </w:rPr>
                <w:fldChar w:fldCharType="separate"/>
              </w:r>
              <w:r>
                <w:rPr>
                  <w:rFonts w:hint="eastAsia" w:ascii="仿宋" w:hAnsi="仿宋" w:eastAsia="仿宋" w:cs="仿宋"/>
                  <w:sz w:val="32"/>
                  <w:szCs w:val="36"/>
                </w:rPr>
                <w:t>2</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5E43A24C">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_Toc9727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（一）当事人基本情况</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_Toc9727 \h </w:instrText>
              </w:r>
              <w:r>
                <w:rPr>
                  <w:rFonts w:hint="eastAsia" w:ascii="仿宋" w:hAnsi="仿宋" w:eastAsia="仿宋" w:cs="仿宋"/>
                  <w:sz w:val="32"/>
                  <w:szCs w:val="36"/>
                </w:rPr>
                <w:fldChar w:fldCharType="separate"/>
              </w:r>
              <w:r>
                <w:rPr>
                  <w:rFonts w:hint="eastAsia" w:ascii="仿宋" w:hAnsi="仿宋" w:eastAsia="仿宋" w:cs="仿宋"/>
                  <w:sz w:val="32"/>
                  <w:szCs w:val="36"/>
                </w:rPr>
                <w:t>2</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684B84D5">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_Toc20556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（二）车辆基本情况</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_Toc20556 \h </w:instrText>
              </w:r>
              <w:r>
                <w:rPr>
                  <w:rFonts w:hint="eastAsia" w:ascii="仿宋" w:hAnsi="仿宋" w:eastAsia="仿宋" w:cs="仿宋"/>
                  <w:sz w:val="32"/>
                  <w:szCs w:val="36"/>
                </w:rPr>
                <w:fldChar w:fldCharType="separate"/>
              </w:r>
              <w:r>
                <w:rPr>
                  <w:rFonts w:hint="eastAsia" w:ascii="仿宋" w:hAnsi="仿宋" w:eastAsia="仿宋" w:cs="仿宋"/>
                  <w:sz w:val="32"/>
                  <w:szCs w:val="36"/>
                </w:rPr>
                <w:t>4</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2A74AFD7">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_Toc3787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（三）道路和交通环境基本情况</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_Toc3787 \h </w:instrText>
              </w:r>
              <w:r>
                <w:rPr>
                  <w:rFonts w:hint="eastAsia" w:ascii="仿宋" w:hAnsi="仿宋" w:eastAsia="仿宋" w:cs="仿宋"/>
                  <w:sz w:val="32"/>
                  <w:szCs w:val="36"/>
                </w:rPr>
                <w:fldChar w:fldCharType="separate"/>
              </w:r>
              <w:r>
                <w:rPr>
                  <w:rFonts w:hint="eastAsia" w:ascii="仿宋" w:hAnsi="仿宋" w:eastAsia="仿宋" w:cs="仿宋"/>
                  <w:sz w:val="32"/>
                  <w:szCs w:val="36"/>
                </w:rPr>
                <w:t>4</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055787CB">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_Toc26445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（四）道路交通事故发生经过</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_Toc26445 \h </w:instrText>
              </w:r>
              <w:r>
                <w:rPr>
                  <w:rFonts w:hint="eastAsia" w:ascii="仿宋" w:hAnsi="仿宋" w:eastAsia="仿宋" w:cs="仿宋"/>
                  <w:sz w:val="32"/>
                  <w:szCs w:val="36"/>
                </w:rPr>
                <w:fldChar w:fldCharType="separate"/>
              </w:r>
              <w:r>
                <w:rPr>
                  <w:rFonts w:hint="eastAsia" w:ascii="仿宋" w:hAnsi="仿宋" w:eastAsia="仿宋" w:cs="仿宋"/>
                  <w:sz w:val="32"/>
                  <w:szCs w:val="36"/>
                </w:rPr>
                <w:t>5</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5E10F570">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_Toc32055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（五）道路交通事故证据</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_Toc32055 \h </w:instrText>
              </w:r>
              <w:r>
                <w:rPr>
                  <w:rFonts w:hint="eastAsia" w:ascii="仿宋" w:hAnsi="仿宋" w:eastAsia="仿宋" w:cs="仿宋"/>
                  <w:sz w:val="32"/>
                  <w:szCs w:val="36"/>
                </w:rPr>
                <w:fldChar w:fldCharType="separate"/>
              </w:r>
              <w:r>
                <w:rPr>
                  <w:rFonts w:hint="eastAsia" w:ascii="仿宋" w:hAnsi="仿宋" w:eastAsia="仿宋" w:cs="仿宋"/>
                  <w:sz w:val="32"/>
                  <w:szCs w:val="36"/>
                </w:rPr>
                <w:t>9</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74BEF9A9">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_Toc2778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（六）道路交通事故形成原因分析</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_Toc2778 \h </w:instrText>
              </w:r>
              <w:r>
                <w:rPr>
                  <w:rFonts w:hint="eastAsia" w:ascii="仿宋" w:hAnsi="仿宋" w:eastAsia="仿宋" w:cs="仿宋"/>
                  <w:sz w:val="32"/>
                  <w:szCs w:val="36"/>
                </w:rPr>
                <w:fldChar w:fldCharType="separate"/>
              </w:r>
              <w:r>
                <w:rPr>
                  <w:rFonts w:hint="eastAsia" w:ascii="仿宋" w:hAnsi="仿宋" w:eastAsia="仿宋" w:cs="仿宋"/>
                  <w:sz w:val="32"/>
                  <w:szCs w:val="36"/>
                </w:rPr>
                <w:t>9</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6D8CC7D7">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_Toc10942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（七）当事人导致交通事故的过错及责任或者意外原因</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_Toc10942 \h </w:instrText>
              </w:r>
              <w:r>
                <w:rPr>
                  <w:rFonts w:hint="eastAsia" w:ascii="仿宋" w:hAnsi="仿宋" w:eastAsia="仿宋" w:cs="仿宋"/>
                  <w:sz w:val="32"/>
                  <w:szCs w:val="36"/>
                </w:rPr>
                <w:fldChar w:fldCharType="separate"/>
              </w:r>
              <w:r>
                <w:rPr>
                  <w:rFonts w:hint="eastAsia" w:ascii="仿宋" w:hAnsi="仿宋" w:eastAsia="仿宋" w:cs="仿宋"/>
                  <w:sz w:val="32"/>
                  <w:szCs w:val="36"/>
                </w:rPr>
                <w:t>9</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4BB8762E">
              <w:pPr>
                <w:pStyle w:val="6"/>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_Toc3034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snapToGrid w:val="0"/>
                  <w:kern w:val="0"/>
                  <w:sz w:val="32"/>
                  <w:szCs w:val="48"/>
                  <w:highlight w:val="none"/>
                  <w:lang w:val="en-US" w:eastAsia="zh-CN" w:bidi="ar-SA"/>
                </w:rPr>
                <w:t>三、事故应急处置及评估情况</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_Toc3034 \h </w:instrText>
              </w:r>
              <w:r>
                <w:rPr>
                  <w:rFonts w:hint="eastAsia" w:ascii="仿宋" w:hAnsi="仿宋" w:eastAsia="仿宋" w:cs="仿宋"/>
                  <w:sz w:val="32"/>
                  <w:szCs w:val="36"/>
                </w:rPr>
                <w:fldChar w:fldCharType="separate"/>
              </w:r>
              <w:r>
                <w:rPr>
                  <w:rFonts w:hint="eastAsia" w:ascii="仿宋" w:hAnsi="仿宋" w:eastAsia="仿宋" w:cs="仿宋"/>
                  <w:sz w:val="32"/>
                  <w:szCs w:val="36"/>
                </w:rPr>
                <w:t>10</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1FBAC1B3">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_Toc5277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（一）事故信息接报及响应情况</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_Toc5277 \h </w:instrText>
              </w:r>
              <w:r>
                <w:rPr>
                  <w:rFonts w:hint="eastAsia" w:ascii="仿宋" w:hAnsi="仿宋" w:eastAsia="仿宋" w:cs="仿宋"/>
                  <w:sz w:val="32"/>
                  <w:szCs w:val="36"/>
                </w:rPr>
                <w:fldChar w:fldCharType="separate"/>
              </w:r>
              <w:r>
                <w:rPr>
                  <w:rFonts w:hint="eastAsia" w:ascii="仿宋" w:hAnsi="仿宋" w:eastAsia="仿宋" w:cs="仿宋"/>
                  <w:sz w:val="32"/>
                  <w:szCs w:val="36"/>
                </w:rPr>
                <w:t>10</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2C043D51">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_Toc27330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（二）事故现场应急处置情况</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_Toc27330 \h </w:instrText>
              </w:r>
              <w:r>
                <w:rPr>
                  <w:rFonts w:hint="eastAsia" w:ascii="仿宋" w:hAnsi="仿宋" w:eastAsia="仿宋" w:cs="仿宋"/>
                  <w:sz w:val="32"/>
                  <w:szCs w:val="36"/>
                </w:rPr>
                <w:fldChar w:fldCharType="separate"/>
              </w:r>
              <w:r>
                <w:rPr>
                  <w:rFonts w:hint="eastAsia" w:ascii="仿宋" w:hAnsi="仿宋" w:eastAsia="仿宋" w:cs="仿宋"/>
                  <w:sz w:val="32"/>
                  <w:szCs w:val="36"/>
                </w:rPr>
                <w:t>11</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10F27B20">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_Toc30963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（三）事故应急处置评估</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_Toc30963 \h </w:instrText>
              </w:r>
              <w:r>
                <w:rPr>
                  <w:rFonts w:hint="eastAsia" w:ascii="仿宋" w:hAnsi="仿宋" w:eastAsia="仿宋" w:cs="仿宋"/>
                  <w:sz w:val="32"/>
                  <w:szCs w:val="36"/>
                </w:rPr>
                <w:fldChar w:fldCharType="separate"/>
              </w:r>
              <w:r>
                <w:rPr>
                  <w:rFonts w:hint="eastAsia" w:ascii="仿宋" w:hAnsi="仿宋" w:eastAsia="仿宋" w:cs="仿宋"/>
                  <w:sz w:val="32"/>
                  <w:szCs w:val="36"/>
                </w:rPr>
                <w:t>11</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70C92B66">
              <w:pPr>
                <w:pStyle w:val="6"/>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_Toc13998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snapToGrid w:val="0"/>
                  <w:kern w:val="0"/>
                  <w:sz w:val="32"/>
                  <w:szCs w:val="48"/>
                  <w:highlight w:val="none"/>
                  <w:lang w:val="en-US" w:eastAsia="zh-CN" w:bidi="ar-SA"/>
                </w:rPr>
                <w:t>四、事故原因分析</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_Toc13998 \h </w:instrText>
              </w:r>
              <w:r>
                <w:rPr>
                  <w:rFonts w:hint="eastAsia" w:ascii="仿宋" w:hAnsi="仿宋" w:eastAsia="仿宋" w:cs="仿宋"/>
                  <w:sz w:val="32"/>
                  <w:szCs w:val="36"/>
                </w:rPr>
                <w:fldChar w:fldCharType="separate"/>
              </w:r>
              <w:r>
                <w:rPr>
                  <w:rFonts w:hint="eastAsia" w:ascii="仿宋" w:hAnsi="仿宋" w:eastAsia="仿宋" w:cs="仿宋"/>
                  <w:sz w:val="32"/>
                  <w:szCs w:val="36"/>
                </w:rPr>
                <w:t>11</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01D67DA4">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_Toc13830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（一）直接原因分析</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_Toc13830 \h </w:instrText>
              </w:r>
              <w:r>
                <w:rPr>
                  <w:rFonts w:hint="eastAsia" w:ascii="仿宋" w:hAnsi="仿宋" w:eastAsia="仿宋" w:cs="仿宋"/>
                  <w:sz w:val="32"/>
                  <w:szCs w:val="36"/>
                </w:rPr>
                <w:fldChar w:fldCharType="separate"/>
              </w:r>
              <w:r>
                <w:rPr>
                  <w:rFonts w:hint="eastAsia" w:ascii="仿宋" w:hAnsi="仿宋" w:eastAsia="仿宋" w:cs="仿宋"/>
                  <w:sz w:val="32"/>
                  <w:szCs w:val="36"/>
                </w:rPr>
                <w:t>11</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019FBBC5">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_Toc31255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（二）事故相关检验检测和鉴定情况</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_Toc31255 \h </w:instrText>
              </w:r>
              <w:r>
                <w:rPr>
                  <w:rFonts w:hint="eastAsia" w:ascii="仿宋" w:hAnsi="仿宋" w:eastAsia="仿宋" w:cs="仿宋"/>
                  <w:sz w:val="32"/>
                  <w:szCs w:val="36"/>
                </w:rPr>
                <w:fldChar w:fldCharType="separate"/>
              </w:r>
              <w:r>
                <w:rPr>
                  <w:rFonts w:hint="eastAsia" w:ascii="仿宋" w:hAnsi="仿宋" w:eastAsia="仿宋" w:cs="仿宋"/>
                  <w:sz w:val="32"/>
                  <w:szCs w:val="36"/>
                </w:rPr>
                <w:t>12</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2DE110BB">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_Toc25732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（三）其他可能因素排除</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_Toc25732 \h </w:instrText>
              </w:r>
              <w:r>
                <w:rPr>
                  <w:rFonts w:hint="eastAsia" w:ascii="仿宋" w:hAnsi="仿宋" w:eastAsia="仿宋" w:cs="仿宋"/>
                  <w:sz w:val="32"/>
                  <w:szCs w:val="36"/>
                </w:rPr>
                <w:fldChar w:fldCharType="separate"/>
              </w:r>
              <w:r>
                <w:rPr>
                  <w:rFonts w:hint="eastAsia" w:ascii="仿宋" w:hAnsi="仿宋" w:eastAsia="仿宋" w:cs="仿宋"/>
                  <w:sz w:val="32"/>
                  <w:szCs w:val="36"/>
                </w:rPr>
                <w:t>12</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71580D32">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_Toc19084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（四）间接原因分析</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_Toc19084 \h </w:instrText>
              </w:r>
              <w:r>
                <w:rPr>
                  <w:rFonts w:hint="eastAsia" w:ascii="仿宋" w:hAnsi="仿宋" w:eastAsia="仿宋" w:cs="仿宋"/>
                  <w:sz w:val="32"/>
                  <w:szCs w:val="36"/>
                </w:rPr>
                <w:fldChar w:fldCharType="separate"/>
              </w:r>
              <w:r>
                <w:rPr>
                  <w:rFonts w:hint="eastAsia" w:ascii="仿宋" w:hAnsi="仿宋" w:eastAsia="仿宋" w:cs="仿宋"/>
                  <w:sz w:val="32"/>
                  <w:szCs w:val="36"/>
                </w:rPr>
                <w:t>13</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0FAB6EA3">
              <w:pPr>
                <w:pStyle w:val="6"/>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_Toc3322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snapToGrid w:val="0"/>
                  <w:kern w:val="0"/>
                  <w:sz w:val="32"/>
                  <w:szCs w:val="48"/>
                  <w:highlight w:val="none"/>
                  <w:lang w:val="en-US" w:eastAsia="zh-CN" w:bidi="ar-SA"/>
                </w:rPr>
                <w:t>五、有关责任单位存在的主要问题</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_Toc3322 \h </w:instrText>
              </w:r>
              <w:r>
                <w:rPr>
                  <w:rFonts w:hint="eastAsia" w:ascii="仿宋" w:hAnsi="仿宋" w:eastAsia="仿宋" w:cs="仿宋"/>
                  <w:sz w:val="32"/>
                  <w:szCs w:val="36"/>
                </w:rPr>
                <w:fldChar w:fldCharType="separate"/>
              </w:r>
              <w:r>
                <w:rPr>
                  <w:rFonts w:hint="eastAsia" w:ascii="仿宋" w:hAnsi="仿宋" w:eastAsia="仿宋" w:cs="仿宋"/>
                  <w:sz w:val="32"/>
                  <w:szCs w:val="36"/>
                </w:rPr>
                <w:t>14</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1849D31B">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_Toc31441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（一）呼伦贝尔市天元运业（集团）额尔古纳有限公司</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_Toc31441 \h </w:instrText>
              </w:r>
              <w:r>
                <w:rPr>
                  <w:rFonts w:hint="eastAsia" w:ascii="仿宋" w:hAnsi="仿宋" w:eastAsia="仿宋" w:cs="仿宋"/>
                  <w:sz w:val="32"/>
                  <w:szCs w:val="36"/>
                </w:rPr>
                <w:fldChar w:fldCharType="separate"/>
              </w:r>
              <w:r>
                <w:rPr>
                  <w:rFonts w:hint="eastAsia" w:ascii="仿宋" w:hAnsi="仿宋" w:eastAsia="仿宋" w:cs="仿宋"/>
                  <w:sz w:val="32"/>
                  <w:szCs w:val="36"/>
                </w:rPr>
                <w:t>14</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00B7831C">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_Toc6616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（二）大庆市萨尔图区赵X货物运输服务部</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_Toc6616 \h </w:instrText>
              </w:r>
              <w:r>
                <w:rPr>
                  <w:rFonts w:hint="eastAsia" w:ascii="仿宋" w:hAnsi="仿宋" w:eastAsia="仿宋" w:cs="仿宋"/>
                  <w:sz w:val="32"/>
                  <w:szCs w:val="36"/>
                </w:rPr>
                <w:fldChar w:fldCharType="separate"/>
              </w:r>
              <w:r>
                <w:rPr>
                  <w:rFonts w:hint="eastAsia" w:ascii="仿宋" w:hAnsi="仿宋" w:eastAsia="仿宋" w:cs="仿宋"/>
                  <w:sz w:val="32"/>
                  <w:szCs w:val="36"/>
                </w:rPr>
                <w:t>14</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349D361D">
              <w:pPr>
                <w:pStyle w:val="6"/>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_Toc11087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snapToGrid w:val="0"/>
                  <w:kern w:val="0"/>
                  <w:sz w:val="32"/>
                  <w:szCs w:val="48"/>
                  <w:highlight w:val="none"/>
                  <w:lang w:val="en-US" w:eastAsia="zh-CN" w:bidi="ar-SA"/>
                </w:rPr>
                <w:t>六、对有关责任人员和责任单位的处理建议</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_Toc11087 \h </w:instrText>
              </w:r>
              <w:r>
                <w:rPr>
                  <w:rFonts w:hint="eastAsia" w:ascii="仿宋" w:hAnsi="仿宋" w:eastAsia="仿宋" w:cs="仿宋"/>
                  <w:sz w:val="32"/>
                  <w:szCs w:val="36"/>
                </w:rPr>
                <w:fldChar w:fldCharType="separate"/>
              </w:r>
              <w:r>
                <w:rPr>
                  <w:rFonts w:hint="eastAsia" w:ascii="仿宋" w:hAnsi="仿宋" w:eastAsia="仿宋" w:cs="仿宋"/>
                  <w:sz w:val="32"/>
                  <w:szCs w:val="36"/>
                </w:rPr>
                <w:t>15</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2AAEEBAB">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_Toc29368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（一）有关责任人员处理建议</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_Toc29368 \h </w:instrText>
              </w:r>
              <w:r>
                <w:rPr>
                  <w:rFonts w:hint="eastAsia" w:ascii="仿宋" w:hAnsi="仿宋" w:eastAsia="仿宋" w:cs="仿宋"/>
                  <w:sz w:val="32"/>
                  <w:szCs w:val="36"/>
                </w:rPr>
                <w:fldChar w:fldCharType="separate"/>
              </w:r>
              <w:r>
                <w:rPr>
                  <w:rFonts w:hint="eastAsia" w:ascii="仿宋" w:hAnsi="仿宋" w:eastAsia="仿宋" w:cs="仿宋"/>
                  <w:sz w:val="32"/>
                  <w:szCs w:val="36"/>
                </w:rPr>
                <w:t>15</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09D41BDC">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_Toc4802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（二）有关责任单位处理建议</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_Toc4802 \h </w:instrText>
              </w:r>
              <w:r>
                <w:rPr>
                  <w:rFonts w:hint="eastAsia" w:ascii="仿宋" w:hAnsi="仿宋" w:eastAsia="仿宋" w:cs="仿宋"/>
                  <w:sz w:val="32"/>
                  <w:szCs w:val="36"/>
                </w:rPr>
                <w:fldChar w:fldCharType="separate"/>
              </w:r>
              <w:r>
                <w:rPr>
                  <w:rFonts w:hint="eastAsia" w:ascii="仿宋" w:hAnsi="仿宋" w:eastAsia="仿宋" w:cs="仿宋"/>
                  <w:sz w:val="32"/>
                  <w:szCs w:val="36"/>
                </w:rPr>
                <w:t>16</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108264D3">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_Toc21190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（三）有关责任部门处理建议</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_Toc21190 \h </w:instrText>
              </w:r>
              <w:r>
                <w:rPr>
                  <w:rFonts w:hint="eastAsia" w:ascii="仿宋" w:hAnsi="仿宋" w:eastAsia="仿宋" w:cs="仿宋"/>
                  <w:sz w:val="32"/>
                  <w:szCs w:val="36"/>
                </w:rPr>
                <w:fldChar w:fldCharType="separate"/>
              </w:r>
              <w:r>
                <w:rPr>
                  <w:rFonts w:hint="eastAsia" w:ascii="仿宋" w:hAnsi="仿宋" w:eastAsia="仿宋" w:cs="仿宋"/>
                  <w:sz w:val="32"/>
                  <w:szCs w:val="36"/>
                </w:rPr>
                <w:t>16</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4D05AC40">
              <w:pPr>
                <w:pStyle w:val="6"/>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_Toc27007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snapToGrid w:val="0"/>
                  <w:kern w:val="0"/>
                  <w:sz w:val="32"/>
                  <w:szCs w:val="48"/>
                  <w:highlight w:val="none"/>
                  <w:lang w:val="en-US" w:eastAsia="zh-CN" w:bidi="ar-SA"/>
                </w:rPr>
                <w:t>七、事故主要教训</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_Toc27007 \h </w:instrText>
              </w:r>
              <w:r>
                <w:rPr>
                  <w:rFonts w:hint="eastAsia" w:ascii="仿宋" w:hAnsi="仿宋" w:eastAsia="仿宋" w:cs="仿宋"/>
                  <w:sz w:val="32"/>
                  <w:szCs w:val="36"/>
                </w:rPr>
                <w:fldChar w:fldCharType="separate"/>
              </w:r>
              <w:r>
                <w:rPr>
                  <w:rFonts w:hint="eastAsia" w:ascii="仿宋" w:hAnsi="仿宋" w:eastAsia="仿宋" w:cs="仿宋"/>
                  <w:sz w:val="32"/>
                  <w:szCs w:val="36"/>
                </w:rPr>
                <w:t>16</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6310013F">
              <w:pPr>
                <w:pStyle w:val="6"/>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_Toc15225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snapToGrid w:val="0"/>
                  <w:kern w:val="0"/>
                  <w:sz w:val="32"/>
                  <w:szCs w:val="48"/>
                  <w:highlight w:val="none"/>
                  <w:lang w:val="en-US" w:eastAsia="zh-CN" w:bidi="ar-SA"/>
                </w:rPr>
                <w:t>八、事故整改和防范措施</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_Toc15225 \h </w:instrText>
              </w:r>
              <w:r>
                <w:rPr>
                  <w:rFonts w:hint="eastAsia" w:ascii="仿宋" w:hAnsi="仿宋" w:eastAsia="仿宋" w:cs="仿宋"/>
                  <w:sz w:val="32"/>
                  <w:szCs w:val="36"/>
                </w:rPr>
                <w:fldChar w:fldCharType="separate"/>
              </w:r>
              <w:r>
                <w:rPr>
                  <w:rFonts w:hint="eastAsia" w:ascii="仿宋" w:hAnsi="仿宋" w:eastAsia="仿宋" w:cs="仿宋"/>
                  <w:sz w:val="32"/>
                  <w:szCs w:val="36"/>
                </w:rPr>
                <w:t>18</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0458A633">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_Toc29644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（一）呼伦贝尔市天元运业（集团）额尔古纳有限公司</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_Toc29644 \h </w:instrText>
              </w:r>
              <w:r>
                <w:rPr>
                  <w:rFonts w:hint="eastAsia" w:ascii="仿宋" w:hAnsi="仿宋" w:eastAsia="仿宋" w:cs="仿宋"/>
                  <w:sz w:val="32"/>
                  <w:szCs w:val="36"/>
                </w:rPr>
                <w:fldChar w:fldCharType="separate"/>
              </w:r>
              <w:r>
                <w:rPr>
                  <w:rFonts w:hint="eastAsia" w:ascii="仿宋" w:hAnsi="仿宋" w:eastAsia="仿宋" w:cs="仿宋"/>
                  <w:sz w:val="32"/>
                  <w:szCs w:val="36"/>
                </w:rPr>
                <w:t>18</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234052A1">
              <w:pPr>
                <w:pStyle w:val="7"/>
                <w:tabs>
                  <w:tab w:val="right" w:leader="dot" w:pos="8305"/>
                </w:tabs>
                <w:rPr>
                  <w:rFonts w:hint="eastAsia" w:ascii="仿宋" w:hAnsi="仿宋" w:eastAsia="仿宋" w:cs="仿宋"/>
                  <w:sz w:val="32"/>
                  <w:szCs w:val="36"/>
                </w:rPr>
              </w:pPr>
              <w:r>
                <w:rPr>
                  <w:rFonts w:hint="eastAsia" w:ascii="仿宋" w:hAnsi="仿宋" w:eastAsia="仿宋" w:cs="仿宋"/>
                  <w:bCs/>
                  <w:snapToGrid w:val="0"/>
                  <w:color w:val="auto"/>
                  <w:kern w:val="0"/>
                  <w:sz w:val="32"/>
                  <w:szCs w:val="48"/>
                  <w:highlight w:val="none"/>
                  <w:lang w:val="en-US" w:eastAsia="zh-CN"/>
                </w:rPr>
                <w:fldChar w:fldCharType="begin"/>
              </w:r>
              <w:r>
                <w:rPr>
                  <w:rFonts w:hint="eastAsia" w:ascii="仿宋" w:hAnsi="仿宋" w:eastAsia="仿宋" w:cs="仿宋"/>
                  <w:bCs/>
                  <w:snapToGrid w:val="0"/>
                  <w:kern w:val="0"/>
                  <w:sz w:val="32"/>
                  <w:szCs w:val="48"/>
                  <w:highlight w:val="none"/>
                  <w:lang w:val="en-US" w:eastAsia="zh-CN"/>
                </w:rPr>
                <w:instrText xml:space="preserve"> HYPERLINK \l _Toc11773 </w:instrText>
              </w:r>
              <w:r>
                <w:rPr>
                  <w:rFonts w:hint="eastAsia" w:ascii="仿宋" w:hAnsi="仿宋" w:eastAsia="仿宋" w:cs="仿宋"/>
                  <w:bCs/>
                  <w:snapToGrid w:val="0"/>
                  <w:kern w:val="0"/>
                  <w:sz w:val="32"/>
                  <w:szCs w:val="48"/>
                  <w:highlight w:val="none"/>
                  <w:lang w:val="en-US" w:eastAsia="zh-CN"/>
                </w:rPr>
                <w:fldChar w:fldCharType="separate"/>
              </w:r>
              <w:r>
                <w:rPr>
                  <w:rFonts w:hint="eastAsia" w:ascii="仿宋" w:hAnsi="仿宋" w:eastAsia="仿宋" w:cs="仿宋"/>
                  <w:bCs w:val="0"/>
                  <w:snapToGrid w:val="0"/>
                  <w:kern w:val="0"/>
                  <w:sz w:val="32"/>
                  <w:szCs w:val="48"/>
                  <w:highlight w:val="none"/>
                  <w:lang w:val="en-US" w:eastAsia="zh-CN" w:bidi="ar-SA"/>
                </w:rPr>
                <w:t>（二）大庆市萨尔图区赵X货物运输服务部</w:t>
              </w:r>
              <w:r>
                <w:rPr>
                  <w:rFonts w:hint="eastAsia" w:ascii="仿宋" w:hAnsi="仿宋" w:eastAsia="仿宋" w:cs="仿宋"/>
                  <w:sz w:val="32"/>
                  <w:szCs w:val="36"/>
                </w:rPr>
                <w:tab/>
              </w:r>
              <w:r>
                <w:rPr>
                  <w:rFonts w:hint="eastAsia" w:ascii="仿宋" w:hAnsi="仿宋" w:eastAsia="仿宋" w:cs="仿宋"/>
                  <w:sz w:val="32"/>
                  <w:szCs w:val="36"/>
                </w:rPr>
                <w:fldChar w:fldCharType="begin"/>
              </w:r>
              <w:r>
                <w:rPr>
                  <w:rFonts w:hint="eastAsia" w:ascii="仿宋" w:hAnsi="仿宋" w:eastAsia="仿宋" w:cs="仿宋"/>
                  <w:sz w:val="32"/>
                  <w:szCs w:val="36"/>
                </w:rPr>
                <w:instrText xml:space="preserve"> PAGEREF _Toc11773 \h </w:instrText>
              </w:r>
              <w:r>
                <w:rPr>
                  <w:rFonts w:hint="eastAsia" w:ascii="仿宋" w:hAnsi="仿宋" w:eastAsia="仿宋" w:cs="仿宋"/>
                  <w:sz w:val="32"/>
                  <w:szCs w:val="36"/>
                </w:rPr>
                <w:fldChar w:fldCharType="separate"/>
              </w:r>
              <w:r>
                <w:rPr>
                  <w:rFonts w:hint="eastAsia" w:ascii="仿宋" w:hAnsi="仿宋" w:eastAsia="仿宋" w:cs="仿宋"/>
                  <w:sz w:val="32"/>
                  <w:szCs w:val="36"/>
                </w:rPr>
                <w:t>19</w:t>
              </w:r>
              <w:r>
                <w:rPr>
                  <w:rFonts w:hint="eastAsia" w:ascii="仿宋" w:hAnsi="仿宋" w:eastAsia="仿宋" w:cs="仿宋"/>
                  <w:sz w:val="32"/>
                  <w:szCs w:val="36"/>
                </w:rPr>
                <w:fldChar w:fldCharType="end"/>
              </w:r>
              <w:r>
                <w:rPr>
                  <w:rFonts w:hint="eastAsia" w:ascii="仿宋" w:hAnsi="仿宋" w:eastAsia="仿宋" w:cs="仿宋"/>
                  <w:bCs/>
                  <w:snapToGrid w:val="0"/>
                  <w:color w:val="auto"/>
                  <w:kern w:val="0"/>
                  <w:sz w:val="32"/>
                  <w:szCs w:val="48"/>
                  <w:highlight w:val="none"/>
                  <w:lang w:val="en-US" w:eastAsia="zh-CN"/>
                </w:rPr>
                <w:fldChar w:fldCharType="end"/>
              </w:r>
            </w:p>
            <w:p w14:paraId="1B2C29F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黑体" w:hAnsi="黑体" w:eastAsia="黑体" w:cs="黑体"/>
                  <w:snapToGrid w:val="0"/>
                  <w:kern w:val="0"/>
                  <w:sz w:val="32"/>
                  <w:szCs w:val="32"/>
                  <w:highlight w:val="none"/>
                  <w:lang w:val="en-US" w:eastAsia="zh-CN"/>
                </w:rPr>
              </w:pPr>
              <w:r>
                <w:rPr>
                  <w:rFonts w:hint="eastAsia" w:ascii="仿宋" w:hAnsi="仿宋" w:eastAsia="仿宋" w:cs="仿宋"/>
                  <w:bCs/>
                  <w:snapToGrid w:val="0"/>
                  <w:color w:val="auto"/>
                  <w:kern w:val="0"/>
                  <w:sz w:val="32"/>
                  <w:szCs w:val="48"/>
                  <w:highlight w:val="none"/>
                  <w:lang w:val="en-US" w:eastAsia="zh-CN"/>
                </w:rPr>
                <w:fldChar w:fldCharType="end"/>
              </w:r>
              <w:bookmarkStart w:id="4" w:name="_Toc6426"/>
              <w:bookmarkStart w:id="5" w:name="_Toc913"/>
            </w:p>
          </w:sdtContent>
        </w:sdt>
      </w:sdtContent>
    </w:sdt>
    <w:p w14:paraId="6F57BEC7">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rPr>
        <w:sectPr>
          <w:headerReference r:id="rId3" w:type="default"/>
          <w:footerReference r:id="rId4" w:type="default"/>
          <w:pgSz w:w="11905" w:h="16840"/>
          <w:pgNumType w:fmt="decimal" w:start="1"/>
          <w:cols w:space="720" w:num="1"/>
        </w:sectPr>
      </w:pPr>
      <w:bookmarkStart w:id="6" w:name="_Toc30313"/>
    </w:p>
    <w:p w14:paraId="58E2620F">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rPr>
      </w:pPr>
      <w:r>
        <w:rPr>
          <w:rFonts w:hint="eastAsia" w:ascii="黑体" w:hAnsi="黑体" w:eastAsia="黑体" w:cs="黑体"/>
          <w:snapToGrid w:val="0"/>
          <w:kern w:val="0"/>
          <w:sz w:val="32"/>
          <w:szCs w:val="32"/>
          <w:highlight w:val="none"/>
          <w:lang w:val="en-US" w:eastAsia="zh-CN"/>
        </w:rPr>
        <w:t>一、</w:t>
      </w:r>
      <w:bookmarkEnd w:id="1"/>
      <w:r>
        <w:rPr>
          <w:rFonts w:hint="eastAsia" w:ascii="黑体" w:hAnsi="黑体" w:eastAsia="黑体" w:cs="黑体"/>
          <w:snapToGrid w:val="0"/>
          <w:kern w:val="0"/>
          <w:sz w:val="32"/>
          <w:szCs w:val="32"/>
          <w:highlight w:val="none"/>
          <w:lang w:val="en-US" w:eastAsia="zh-CN"/>
        </w:rPr>
        <w:t>报告开篇和事故性质认定</w:t>
      </w:r>
      <w:bookmarkEnd w:id="2"/>
      <w:bookmarkEnd w:id="3"/>
      <w:bookmarkEnd w:id="4"/>
      <w:bookmarkEnd w:id="5"/>
      <w:bookmarkEnd w:id="6"/>
      <w:r>
        <w:rPr>
          <w:rFonts w:hint="eastAsia" w:ascii="黑体" w:hAnsi="黑体" w:eastAsia="黑体" w:cs="黑体"/>
          <w:snapToGrid w:val="0"/>
          <w:kern w:val="0"/>
          <w:sz w:val="32"/>
          <w:szCs w:val="32"/>
          <w:highlight w:val="none"/>
          <w:lang w:val="en-US" w:eastAsia="zh-CN"/>
        </w:rPr>
        <w:tab/>
      </w:r>
    </w:p>
    <w:p w14:paraId="71C21C8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事故发生时间：2026年3月20日17时04分许。</w:t>
      </w:r>
    </w:p>
    <w:p w14:paraId="089606B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事故发生地点：根河至得耳布尔4公里350米处。</w:t>
      </w:r>
    </w:p>
    <w:p w14:paraId="15EFBE1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事故发生单位：</w:t>
      </w:r>
      <w:r>
        <w:rPr>
          <w:rFonts w:hint="eastAsia" w:ascii="仿宋_GB2312" w:eastAsia="仿宋_GB2312"/>
          <w:sz w:val="32"/>
          <w:szCs w:val="32"/>
        </w:rPr>
        <w:t>呼伦贝尔市天元运业（集团）额尔古纳有限公司</w:t>
      </w:r>
      <w:r>
        <w:rPr>
          <w:rFonts w:hint="eastAsia" w:ascii="仿宋_GB2312" w:eastAsia="仿宋_GB2312"/>
          <w:sz w:val="32"/>
          <w:szCs w:val="32"/>
          <w:lang w:eastAsia="zh-CN"/>
        </w:rPr>
        <w:t>、</w:t>
      </w:r>
      <w:r>
        <w:rPr>
          <w:rFonts w:hint="eastAsia" w:ascii="仿宋_GB2312" w:eastAsia="仿宋_GB2312"/>
          <w:sz w:val="32"/>
          <w:szCs w:val="32"/>
        </w:rPr>
        <w:t>大庆市萨尔图区</w:t>
      </w:r>
      <w:r>
        <w:rPr>
          <w:rFonts w:hint="eastAsia" w:ascii="仿宋_GB2312" w:eastAsia="仿宋_GB2312"/>
          <w:sz w:val="32"/>
          <w:szCs w:val="32"/>
          <w:lang w:eastAsia="zh-CN"/>
        </w:rPr>
        <w:t>赵X</w:t>
      </w:r>
      <w:r>
        <w:rPr>
          <w:rFonts w:hint="eastAsia" w:ascii="仿宋_GB2312" w:eastAsia="仿宋_GB2312"/>
          <w:sz w:val="32"/>
          <w:szCs w:val="32"/>
        </w:rPr>
        <w:t>货物运输服务部</w:t>
      </w:r>
      <w:r>
        <w:rPr>
          <w:rFonts w:hint="eastAsia" w:ascii="仿宋_GB2312" w:hAnsi="仿宋_GB2312" w:eastAsia="仿宋_GB2312" w:cs="仿宋_GB2312"/>
          <w:snapToGrid w:val="0"/>
          <w:color w:val="auto"/>
          <w:kern w:val="0"/>
          <w:sz w:val="32"/>
          <w:szCs w:val="32"/>
          <w:highlight w:val="none"/>
          <w:lang w:val="en-US" w:eastAsia="zh-CN" w:bidi="ar-SA"/>
        </w:rPr>
        <w:t>。</w:t>
      </w:r>
    </w:p>
    <w:p w14:paraId="2B4520BD">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事故类型：一般车辆伤害生产安全事故。</w:t>
      </w:r>
    </w:p>
    <w:p w14:paraId="674D806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伤亡人数：2人死亡。</w:t>
      </w:r>
    </w:p>
    <w:p w14:paraId="47BD3EA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事故等级：一般事故。</w:t>
      </w:r>
    </w:p>
    <w:p w14:paraId="63B0958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直接经济损失：200余万元。</w:t>
      </w:r>
    </w:p>
    <w:p w14:paraId="5A750FC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发生后根河市公安局交通管理大队向根河市人民政府进行汇报，根河市应急管理局按照市领导指示，依据《中华人民共和国安全生产法》、《道路运输车辆动态监督管理办法》、《生产安全事故报告和调查处理条例》（国务院令第493号）等有关法律法规规定，迅速启动联合调查机制，成立根河市3·20一般道路交通事故调查组（以下简称事故调查组），事故调查组由市人民政府、市应急管理局、市交通管理大队、市交通运输局等派人组成，对该起事故展开调查。</w:t>
      </w:r>
    </w:p>
    <w:p w14:paraId="345BC86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调查组按照“四不放过”和“科学严谨、依法依规、实事求是、注重实效”的原则，通过现场勘查、实地调查、资料查阅、技术分析、人员询问等方法，查明了事故发生经过、原因和直接经济损失等情况，认定了事故性质和责任，提出了对有关责任人和责任单位责任部门的处理建议，并针对事故原因及暴露出的突出问题，提出了事故防范措施建议。</w:t>
      </w:r>
    </w:p>
    <w:p w14:paraId="2C5FDC4D">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黑体" w:hAnsi="黑体" w:eastAsia="黑体" w:cs="黑体"/>
          <w:snapToGrid w:val="0"/>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当事人导致交通事故的过错及责任或者意外原因：经调查认定，根河市3·20一般道路交通事故是张XX、赵X双方同时违反《中华人民共和国道路交通安全法》《中华人民共和国道路交通安全法实施条例》，承担此次事故的同等责任。</w:t>
      </w:r>
    </w:p>
    <w:p w14:paraId="780D493B">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bidi="ar-SA"/>
        </w:rPr>
      </w:pPr>
      <w:bookmarkStart w:id="7" w:name="_Toc25342"/>
      <w:bookmarkStart w:id="8" w:name="_Toc4591"/>
      <w:bookmarkStart w:id="9" w:name="_Toc26121"/>
      <w:r>
        <w:rPr>
          <w:rFonts w:hint="eastAsia" w:ascii="黑体" w:hAnsi="黑体" w:eastAsia="黑体" w:cs="黑体"/>
          <w:snapToGrid w:val="0"/>
          <w:kern w:val="0"/>
          <w:sz w:val="32"/>
          <w:szCs w:val="32"/>
          <w:highlight w:val="none"/>
          <w:lang w:val="en-US" w:eastAsia="zh-CN" w:bidi="ar-SA"/>
        </w:rPr>
        <w:t>二、事故基本情况</w:t>
      </w:r>
      <w:bookmarkEnd w:id="0"/>
      <w:bookmarkEnd w:id="7"/>
      <w:bookmarkEnd w:id="8"/>
      <w:bookmarkEnd w:id="9"/>
    </w:p>
    <w:p w14:paraId="1A1556F8">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10" w:name="_Toc22936"/>
      <w:bookmarkStart w:id="11" w:name="heading_1"/>
      <w:bookmarkStart w:id="12" w:name="_Toc9727"/>
      <w:r>
        <w:rPr>
          <w:rFonts w:hint="eastAsia" w:ascii="黑体" w:hAnsi="黑体" w:eastAsia="黑体" w:cs="黑体"/>
          <w:b w:val="0"/>
          <w:bCs w:val="0"/>
          <w:snapToGrid w:val="0"/>
          <w:color w:val="auto"/>
          <w:kern w:val="0"/>
          <w:sz w:val="32"/>
          <w:szCs w:val="32"/>
          <w:highlight w:val="none"/>
          <w:lang w:val="en-US" w:eastAsia="zh-CN" w:bidi="ar-SA"/>
        </w:rPr>
        <w:t>（一）当事人基本情况</w:t>
      </w:r>
      <w:bookmarkEnd w:id="10"/>
      <w:bookmarkEnd w:id="11"/>
      <w:bookmarkEnd w:id="12"/>
    </w:p>
    <w:p w14:paraId="7DA58472">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 张XX，男，出生日期：1976年03月15日，汉族，住址：内蒙古呼伦贝尔市海拉尔区兴安东路XXXX，户籍地址：海拉尔公安分局开发派出所，身份证号码：15212519760315XXXX，档案编号：15070091XXXX，驾驶证初次领证日期：1999年08月29日，有效期止：2027年08月29日，准驾车型：A1A2D，发证机关：内蒙古自治区呼伦贝尔市公安局交通警察支队，交通方式：驾驶大型客车，号牌号码：蒙E78277，联系电话：1589482XXXX，伤害情况：无。</w:t>
      </w:r>
    </w:p>
    <w:p w14:paraId="4554E514">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 赵X，男，出生日期：1984年05月04日，蒙古族，住址：内蒙古自治区呼伦贝尔市根河市创业路XXXX，户籍地址：根河市公安局中央路派出所，身份证号码：15210519840504XXXX，档案编号：15070097XXXX，驾驶证初次领证日期：2002年10月11日，有效期止：长期，准驾车型：A2，发证机关：内蒙古自治区呼伦贝尔市公安局交通警察支队，交通方式：驾驶汽车列车，号牌号码：黑ES9908，联系电话：1533470XXXX，伤害情况：受伤。</w:t>
      </w:r>
    </w:p>
    <w:p w14:paraId="7F404C2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3. 涂XX，女，出生日期：1975年10月28日，汉族，住址：莫尔道嘎镇XXXX，户籍地址：额尔古纳市公安局莫尔道嘎镇边境派出所，身份证号码：15212519751028XXXX，交通方式：乘大中型汽车，伤害情况：2026年03月20日死亡。</w:t>
      </w:r>
    </w:p>
    <w:p w14:paraId="036C64D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4. 熊XX，女，出生日期：1962年06月10日，汉族，住址：得耳布尔镇团结路XXXX，户籍地址：根河市得耳布尔镇派出所，身份证号码：15212619620610XXXX，交通方式：乘大中型汽车，伤害情况：2026年03月20日死亡。</w:t>
      </w:r>
    </w:p>
    <w:p w14:paraId="6866DFBA">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5. 曲X，女，出生日期：1962年10月16日，汉族，住址：内蒙古额尔古纳市莫尔道嘎镇河西胜利路XXXX，户籍地址：内蒙古额尔古纳市莫尔道嘎镇河西胜利路XXXX，身份证号码：15212519621016XXXX，交通方式：乘大中型汽车，联系电话：1594730XXXX，伤害情况：受伤。</w:t>
      </w:r>
    </w:p>
    <w:p w14:paraId="5929ACC9">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6. 曲XX，女，出生日期：1959年03月30日，汉族，住址：内蒙古额尔古纳市莫尔道嘎镇河东XXXX，户籍地址：内蒙古额尔古纳市莫尔道嘎镇河东XXXX，身份证号码：15212519590330XXXX，交通方式：乘大中型汽车，联系电话：1504700XXXX，伤害情况：受伤。</w:t>
      </w:r>
    </w:p>
    <w:p w14:paraId="5C461E2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7. 冉XX，男，出生日期：1964年01月26日，汉族，住址：内蒙古额尔古纳市莫尔道嘎镇河西XXXX，户籍地址：内蒙古额尔古纳市莫尔道嘎镇河西XXXX，身份证号码：15212519640126XXXX，交通方式：乘大中型汽车，联系电话：1334700XXXX，伤害情况：受伤。</w:t>
      </w:r>
    </w:p>
    <w:p w14:paraId="6A6B8934">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8. 赵XX，女，出生日期：1964年03月15日，汉族，住址：内蒙古自治区呼伦贝尔市额尔古纳市莫尔道嘎镇XXXX，户籍地址：内蒙古额尔古纳市莫尔道嘎镇兴安社区XXXX，身份证号码：15212519640315XXXX，交通方式：乘大中型汽车，联系电话：1504975XXXX，伤害情况：受伤。</w:t>
      </w:r>
    </w:p>
    <w:p w14:paraId="598CC34C">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13" w:name="_Toc20556"/>
      <w:bookmarkStart w:id="14" w:name="_Toc31621"/>
      <w:bookmarkStart w:id="15" w:name="heading_2"/>
      <w:r>
        <w:rPr>
          <w:rFonts w:hint="eastAsia" w:ascii="黑体" w:hAnsi="黑体" w:eastAsia="黑体" w:cs="黑体"/>
          <w:b w:val="0"/>
          <w:bCs w:val="0"/>
          <w:snapToGrid w:val="0"/>
          <w:color w:val="auto"/>
          <w:kern w:val="0"/>
          <w:sz w:val="32"/>
          <w:szCs w:val="32"/>
          <w:highlight w:val="none"/>
          <w:lang w:val="en-US" w:eastAsia="zh-CN" w:bidi="ar-SA"/>
        </w:rPr>
        <w:t>（二）车辆基本情况</w:t>
      </w:r>
      <w:bookmarkEnd w:id="13"/>
      <w:bookmarkEnd w:id="14"/>
      <w:bookmarkEnd w:id="15"/>
    </w:p>
    <w:p w14:paraId="6F3764E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 蒙E78277：登记所有人为呼伦贝尔市天元运业（集团）额尔古纳有限责任公司，投保公司为中国大地财产保险股份有限公司，投保机动车责任强制保险、客运承运人责任保险、机动车商业保险，保单号分别为：PDFA2515011360000000XXXX、PZBS2515011360000000XXXX、PDEJ2515011360000000XXXX，车辆类型为大型普通客车。</w:t>
      </w:r>
    </w:p>
    <w:p w14:paraId="14CDBD7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 黑ES9908：登记所有人为大庆市萨尔图区赵X货物运输服务部（个体工商户），投保公司为华安财产保</w:t>
      </w:r>
      <w:bookmarkStart w:id="76" w:name="_GoBack"/>
      <w:bookmarkEnd w:id="76"/>
      <w:r>
        <w:rPr>
          <w:rFonts w:hint="eastAsia" w:ascii="仿宋_GB2312" w:hAnsi="仿宋_GB2312" w:eastAsia="仿宋_GB2312" w:cs="仿宋_GB2312"/>
          <w:snapToGrid w:val="0"/>
          <w:color w:val="auto"/>
          <w:kern w:val="0"/>
          <w:sz w:val="32"/>
          <w:szCs w:val="32"/>
          <w:highlight w:val="none"/>
          <w:lang w:val="en-US" w:eastAsia="zh-CN" w:bidi="ar-SA"/>
        </w:rPr>
        <w:t>险股份有限公司，投保机动车责任强制保险，保单号为：62607040301225000XXXX，车辆类型为重型半挂牵引车。</w:t>
      </w:r>
    </w:p>
    <w:p w14:paraId="1C94048B">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16" w:name="heading_3"/>
      <w:bookmarkStart w:id="17" w:name="_Toc3787"/>
      <w:r>
        <w:rPr>
          <w:rFonts w:hint="eastAsia" w:ascii="黑体" w:hAnsi="黑体" w:eastAsia="黑体" w:cs="黑体"/>
          <w:b w:val="0"/>
          <w:bCs w:val="0"/>
          <w:snapToGrid w:val="0"/>
          <w:color w:val="auto"/>
          <w:kern w:val="0"/>
          <w:sz w:val="32"/>
          <w:szCs w:val="32"/>
          <w:highlight w:val="none"/>
          <w:lang w:val="en-US" w:eastAsia="zh-CN" w:bidi="ar-SA"/>
        </w:rPr>
        <w:t>（三）道路和交通环境基本情况</w:t>
      </w:r>
      <w:bookmarkEnd w:id="16"/>
      <w:bookmarkEnd w:id="17"/>
    </w:p>
    <w:p w14:paraId="2BF2BA7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现场道路位于X325县道（根河至得耳布尔）4公里加350米弯道处，路面为沥青材质，道路中间设有一条中心黄实线，道路两侧设有急弯路标志，事故发生时道路被冰雪覆盖，天气为晴间多云，无其他影响通行的环境因素。</w:t>
      </w:r>
    </w:p>
    <w:p w14:paraId="06FB56A2">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18" w:name="heading_4"/>
      <w:bookmarkStart w:id="19" w:name="_Toc26445"/>
      <w:r>
        <w:rPr>
          <w:rFonts w:hint="eastAsia" w:ascii="黑体" w:hAnsi="黑体" w:eastAsia="黑体" w:cs="黑体"/>
          <w:b w:val="0"/>
          <w:bCs w:val="0"/>
          <w:snapToGrid w:val="0"/>
          <w:color w:val="auto"/>
          <w:kern w:val="0"/>
          <w:sz w:val="32"/>
          <w:szCs w:val="32"/>
          <w:highlight w:val="none"/>
          <w:lang w:val="en-US" w:eastAsia="zh-CN" w:bidi="ar-SA"/>
        </w:rPr>
        <w:t>（四）道路交通事故发生经过</w:t>
      </w:r>
      <w:bookmarkEnd w:id="18"/>
      <w:bookmarkEnd w:id="19"/>
    </w:p>
    <w:p w14:paraId="43E25E7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2026年3月20日17时04分许，张XX（男，50岁）驾驶蒙E78277大型普通客车，沿X325县道（根河至得耳布尔）由南向北行驶，行驶至X325县道（根河至得耳布尔）4公里加350米弯道处，因严重超过规定时速且采取措施不当，车辆尾部向左侧滑，驶入对向车道，与由北向南赵X（男，42岁）驾驶的黑ES9908号满载重型半挂牵引车（超出规定时速行驶，装载超宽且超宽部分占用对方道路）会车时发生碰撞，造成蒙E78277大型普通客车内乘员熊XX、涂XX二人当场死亡，曲X、曲XX、赵XX、冉XX及赵X（黑ES9908驾驶员）受伤，双方车辆损坏的道路交通事故。</w:t>
      </w:r>
    </w:p>
    <w:p w14:paraId="2619320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yellow"/>
          <w:lang w:val="en-US" w:eastAsia="zh-CN" w:bidi="ar-SA"/>
        </w:rPr>
      </w:pPr>
    </w:p>
    <w:p w14:paraId="6508BB3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yellow"/>
          <w:lang w:val="en-US" w:eastAsia="zh-CN" w:bidi="ar-SA"/>
        </w:rPr>
      </w:pPr>
    </w:p>
    <w:p w14:paraId="63EB7AE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yellow"/>
          <w:lang w:val="en-US" w:eastAsia="zh-CN" w:bidi="ar-SA"/>
        </w:rPr>
      </w:pPr>
    </w:p>
    <w:p w14:paraId="7DEFD087">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yellow"/>
          <w:lang w:val="en-US" w:eastAsia="zh-CN" w:bidi="ar-SA"/>
        </w:rPr>
      </w:pPr>
    </w:p>
    <w:p w14:paraId="50063A6B">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yellow"/>
          <w:lang w:val="en-US" w:eastAsia="zh-CN" w:bidi="ar-SA"/>
        </w:rPr>
      </w:pPr>
    </w:p>
    <w:p w14:paraId="452CC207">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yellow"/>
          <w:lang w:val="en-US" w:eastAsia="zh-CN" w:bidi="ar-SA"/>
        </w:rPr>
      </w:pPr>
    </w:p>
    <w:p w14:paraId="3178C63C">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yellow"/>
          <w:lang w:val="en-US" w:eastAsia="zh-CN" w:bidi="ar-SA"/>
        </w:rPr>
      </w:pPr>
    </w:p>
    <w:p w14:paraId="582A57D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yellow"/>
          <w:lang w:val="en-US" w:eastAsia="zh-CN" w:bidi="ar-SA"/>
        </w:rPr>
      </w:pPr>
    </w:p>
    <w:p w14:paraId="7D870639">
      <w:pPr>
        <w:keepNext w:val="0"/>
        <w:keepLines w:val="0"/>
        <w:pageBreakBefore w:val="0"/>
        <w:widowControl w:val="0"/>
        <w:kinsoku/>
        <w:wordWrap/>
        <w:overflowPunct/>
        <w:topLinePunct w:val="0"/>
        <w:autoSpaceDE/>
        <w:autoSpaceDN/>
        <w:bidi w:val="0"/>
        <w:adjustRightInd/>
        <w:snapToGrid w:val="0"/>
        <w:spacing w:line="240" w:lineRule="auto"/>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yellow"/>
          <w:lang w:val="en-US" w:eastAsia="zh-CN" w:bidi="ar-SA"/>
        </w:rPr>
      </w:pPr>
      <w:r>
        <w:rPr>
          <w:rFonts w:hint="eastAsia" w:ascii="仿宋_GB2312" w:hAnsi="仿宋_GB2312" w:eastAsia="仿宋_GB2312" w:cs="仿宋_GB2312"/>
          <w:snapToGrid w:val="0"/>
          <w:color w:val="auto"/>
          <w:kern w:val="0"/>
          <w:sz w:val="32"/>
          <w:szCs w:val="32"/>
          <w:highlight w:val="yellow"/>
          <w:lang w:val="en-US" w:eastAsia="zh-CN" w:bidi="ar-SA"/>
        </w:rPr>
        <w:drawing>
          <wp:inline distT="0" distB="0" distL="114300" distR="114300">
            <wp:extent cx="4690110" cy="8857615"/>
            <wp:effectExtent l="0" t="0" r="15240" b="635"/>
            <wp:docPr id="3" name="图片 3" descr="照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照片"/>
                    <pic:cNvPicPr>
                      <a:picLocks noChangeAspect="1"/>
                    </pic:cNvPicPr>
                  </pic:nvPicPr>
                  <pic:blipFill>
                    <a:blip r:embed="rId7"/>
                    <a:stretch>
                      <a:fillRect/>
                    </a:stretch>
                  </pic:blipFill>
                  <pic:spPr>
                    <a:xfrm>
                      <a:off x="0" y="0"/>
                      <a:ext cx="4690110" cy="8857615"/>
                    </a:xfrm>
                    <a:prstGeom prst="rect">
                      <a:avLst/>
                    </a:prstGeom>
                  </pic:spPr>
                </pic:pic>
              </a:graphicData>
            </a:graphic>
          </wp:inline>
        </w:drawing>
      </w:r>
    </w:p>
    <w:p w14:paraId="3DF71009">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center"/>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事故发生座位分布图</w:t>
      </w:r>
    </w:p>
    <w:p w14:paraId="54268E6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_GB2312" w:hAnsi="仿宋_GB2312" w:eastAsia="仿宋_GB2312" w:cs="仿宋_GB2312"/>
          <w:snapToGrid w:val="0"/>
          <w:color w:val="auto"/>
          <w:kern w:val="0"/>
          <w:sz w:val="32"/>
          <w:szCs w:val="32"/>
          <w:highlight w:val="yellow"/>
          <w:lang w:val="en-US" w:eastAsia="zh-CN" w:bidi="ar-SA"/>
        </w:rPr>
      </w:pPr>
    </w:p>
    <w:p w14:paraId="43C2F342">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_GB2312" w:hAnsi="仿宋_GB2312" w:eastAsia="仿宋_GB2312" w:cs="仿宋_GB2312"/>
          <w:snapToGrid w:val="0"/>
          <w:color w:val="auto"/>
          <w:kern w:val="0"/>
          <w:sz w:val="32"/>
          <w:szCs w:val="32"/>
          <w:highlight w:val="yellow"/>
          <w:lang w:val="en-US" w:eastAsia="zh-CN" w:bidi="ar-SA"/>
        </w:rPr>
      </w:pPr>
      <w:r>
        <w:rPr>
          <w:rFonts w:hint="eastAsia" w:ascii="仿宋_GB2312" w:hAnsi="仿宋_GB2312" w:eastAsia="仿宋_GB2312" w:cs="仿宋_GB2312"/>
          <w:snapToGrid w:val="0"/>
          <w:color w:val="auto"/>
          <w:kern w:val="0"/>
          <w:sz w:val="32"/>
          <w:szCs w:val="32"/>
          <w:highlight w:val="yellow"/>
          <w:lang w:val="en-US" w:eastAsia="zh-CN" w:bidi="ar-SA"/>
        </w:rPr>
        <w:drawing>
          <wp:inline distT="0" distB="0" distL="114300" distR="114300">
            <wp:extent cx="5266690" cy="4046855"/>
            <wp:effectExtent l="0" t="0" r="10160" b="10795"/>
            <wp:docPr id="10" name="图片 10" descr="IMG_8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8189"/>
                    <pic:cNvPicPr>
                      <a:picLocks noChangeAspect="1"/>
                    </pic:cNvPicPr>
                  </pic:nvPicPr>
                  <pic:blipFill>
                    <a:blip r:embed="rId8"/>
                    <a:stretch>
                      <a:fillRect/>
                    </a:stretch>
                  </pic:blipFill>
                  <pic:spPr>
                    <a:xfrm>
                      <a:off x="0" y="0"/>
                      <a:ext cx="5266690" cy="4046855"/>
                    </a:xfrm>
                    <a:prstGeom prst="rect">
                      <a:avLst/>
                    </a:prstGeom>
                  </pic:spPr>
                </pic:pic>
              </a:graphicData>
            </a:graphic>
          </wp:inline>
        </w:drawing>
      </w:r>
      <w:r>
        <w:rPr>
          <w:rFonts w:hint="eastAsia" w:ascii="仿宋_GB2312" w:hAnsi="仿宋_GB2312" w:eastAsia="仿宋_GB2312" w:cs="仿宋_GB2312"/>
          <w:snapToGrid w:val="0"/>
          <w:color w:val="auto"/>
          <w:kern w:val="0"/>
          <w:sz w:val="32"/>
          <w:szCs w:val="32"/>
          <w:highlight w:val="yellow"/>
          <w:lang w:val="en-US" w:eastAsia="zh-CN" w:bidi="ar-SA"/>
        </w:rPr>
        <w:drawing>
          <wp:inline distT="0" distB="0" distL="114300" distR="114300">
            <wp:extent cx="5266690" cy="4166235"/>
            <wp:effectExtent l="0" t="0" r="10160" b="5715"/>
            <wp:docPr id="7" name="图片 7" descr="IMG_8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8170"/>
                    <pic:cNvPicPr>
                      <a:picLocks noChangeAspect="1"/>
                    </pic:cNvPicPr>
                  </pic:nvPicPr>
                  <pic:blipFill>
                    <a:blip r:embed="rId9"/>
                    <a:stretch>
                      <a:fillRect/>
                    </a:stretch>
                  </pic:blipFill>
                  <pic:spPr>
                    <a:xfrm>
                      <a:off x="0" y="0"/>
                      <a:ext cx="5266690" cy="4166235"/>
                    </a:xfrm>
                    <a:prstGeom prst="rect">
                      <a:avLst/>
                    </a:prstGeom>
                  </pic:spPr>
                </pic:pic>
              </a:graphicData>
            </a:graphic>
          </wp:inline>
        </w:drawing>
      </w:r>
    </w:p>
    <w:p w14:paraId="31C616F7">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drawing>
          <wp:inline distT="0" distB="0" distL="114300" distR="114300">
            <wp:extent cx="5306695" cy="8419465"/>
            <wp:effectExtent l="0" t="0" r="8255" b="635"/>
            <wp:docPr id="14" name="图片 1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
                    <pic:cNvPicPr>
                      <a:picLocks noChangeAspect="1"/>
                    </pic:cNvPicPr>
                  </pic:nvPicPr>
                  <pic:blipFill>
                    <a:blip r:embed="rId10"/>
                    <a:srcRect l="8548" t="597" r="10357" b="3913"/>
                    <a:stretch>
                      <a:fillRect/>
                    </a:stretch>
                  </pic:blipFill>
                  <pic:spPr>
                    <a:xfrm>
                      <a:off x="0" y="0"/>
                      <a:ext cx="5306695" cy="8419465"/>
                    </a:xfrm>
                    <a:prstGeom prst="rect">
                      <a:avLst/>
                    </a:prstGeom>
                  </pic:spPr>
                </pic:pic>
              </a:graphicData>
            </a:graphic>
          </wp:inline>
        </w:drawing>
      </w:r>
    </w:p>
    <w:p w14:paraId="63E1DD4D">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center"/>
        <w:textAlignment w:val="auto"/>
        <w:rPr>
          <w:rFonts w:hint="eastAsia" w:ascii="黑体" w:hAnsi="黑体" w:eastAsia="黑体" w:cs="黑体"/>
          <w:b w:val="0"/>
          <w:bCs w:val="0"/>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现场局部拍摄图片</w:t>
      </w:r>
      <w:bookmarkStart w:id="20" w:name="heading_5"/>
    </w:p>
    <w:p w14:paraId="030268F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21" w:name="_Toc32055"/>
      <w:r>
        <w:rPr>
          <w:rFonts w:hint="eastAsia" w:ascii="黑体" w:hAnsi="黑体" w:eastAsia="黑体" w:cs="黑体"/>
          <w:b w:val="0"/>
          <w:bCs w:val="0"/>
          <w:snapToGrid w:val="0"/>
          <w:color w:val="auto"/>
          <w:kern w:val="0"/>
          <w:sz w:val="32"/>
          <w:szCs w:val="32"/>
          <w:highlight w:val="none"/>
          <w:lang w:val="en-US" w:eastAsia="zh-CN" w:bidi="ar-SA"/>
        </w:rPr>
        <w:t>（五）道路交通事故证据</w:t>
      </w:r>
      <w:bookmarkEnd w:id="20"/>
      <w:bookmarkEnd w:id="21"/>
    </w:p>
    <w:p w14:paraId="457432EB">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本次事故的证据主要包括：接处警登记、受立案登记表、道路交通事故现场勘查笔录、现场图、现场照片、驾驶员信息查询结果单、当事人陈述、呼吸式酒精检测单、司法鉴定报告、视频资料等，上述证据均经调查核实，真实有效，能够完整还原事故发生全过程及各方当事人的违法行为。</w:t>
      </w:r>
    </w:p>
    <w:p w14:paraId="6F263E5C">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22" w:name="heading_6"/>
      <w:bookmarkStart w:id="23" w:name="_Toc2778"/>
      <w:r>
        <w:rPr>
          <w:rFonts w:hint="eastAsia" w:ascii="黑体" w:hAnsi="黑体" w:eastAsia="黑体" w:cs="黑体"/>
          <w:b w:val="0"/>
          <w:bCs w:val="0"/>
          <w:snapToGrid w:val="0"/>
          <w:color w:val="auto"/>
          <w:kern w:val="0"/>
          <w:sz w:val="32"/>
          <w:szCs w:val="32"/>
          <w:highlight w:val="none"/>
          <w:lang w:val="en-US" w:eastAsia="zh-CN" w:bidi="ar-SA"/>
        </w:rPr>
        <w:t>（六）道路交通事故形成原因分析</w:t>
      </w:r>
      <w:bookmarkEnd w:id="22"/>
      <w:bookmarkEnd w:id="23"/>
    </w:p>
    <w:p w14:paraId="07D75D32">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经过现场勘查和调查取证，分析认为导致该起事故的原因如下：</w:t>
      </w:r>
    </w:p>
    <w:p w14:paraId="69E31D3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 张XX驾驶的机动车严重超过规定时速行驶，进入弯道后车辆为躲避对向车辆时发生碰撞，车辆尾部进入对向车道，且驾驶车辆机件（轮胎）不符合标准具有安全隐患的机动车是发生事故的一方面原因；</w:t>
      </w:r>
    </w:p>
    <w:p w14:paraId="2B17125B">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 赵X驾驶超过规定时速、擅自改变机动车已登记的结构、机件（制动、轮胎）不符合标准具有安全隐患的重型半挂牵引车，牵引灯光信号、制动、连接安全防护等装置不符合国家标准的拼装挂车（炮车）。且车辆装载的原木宽度超出车厢并占用对向车道是发生事故的另一方面原因。</w:t>
      </w:r>
    </w:p>
    <w:p w14:paraId="4EDE2EFB">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24" w:name="_Toc10942"/>
      <w:bookmarkStart w:id="25" w:name="heading_7"/>
      <w:r>
        <w:rPr>
          <w:rFonts w:hint="eastAsia" w:ascii="黑体" w:hAnsi="黑体" w:eastAsia="黑体" w:cs="黑体"/>
          <w:b w:val="0"/>
          <w:bCs w:val="0"/>
          <w:snapToGrid w:val="0"/>
          <w:color w:val="auto"/>
          <w:kern w:val="0"/>
          <w:sz w:val="32"/>
          <w:szCs w:val="32"/>
          <w:highlight w:val="none"/>
          <w:lang w:val="en-US" w:eastAsia="zh-CN" w:bidi="ar-SA"/>
        </w:rPr>
        <w:t>（七）当事人导致交通事故的过错及责任或者意外原因</w:t>
      </w:r>
      <w:bookmarkEnd w:id="24"/>
      <w:bookmarkEnd w:id="25"/>
    </w:p>
    <w:p w14:paraId="16F88209">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经根河市公安局交通管理大队现场勘查、调查取证、检验鉴定等程序，出具《道路交通事故认定书》，认定当事人张XX、赵X均存在违反道路交通安全法律法规的行为，双方过错对事故发生的作用及程度相当，分别承担事故同等责任；乘车人涂XX、熊XX、曲X、曲XX、赵XX、冉XX无导致本次事故发生的过错，不承担事故责任；本次事故无意外原因，系双方当事人违法行为共同导致。</w:t>
      </w:r>
    </w:p>
    <w:p w14:paraId="6EFE35C8">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bidi="ar-SA"/>
        </w:rPr>
      </w:pPr>
      <w:bookmarkStart w:id="26" w:name="_Toc3034"/>
      <w:bookmarkStart w:id="27" w:name="_Toc10181"/>
      <w:bookmarkStart w:id="28" w:name="_Toc30580"/>
      <w:bookmarkStart w:id="29" w:name="heading_8"/>
      <w:bookmarkStart w:id="30" w:name="_Toc28896"/>
      <w:r>
        <w:rPr>
          <w:rFonts w:hint="eastAsia" w:ascii="黑体" w:hAnsi="黑体" w:eastAsia="黑体" w:cs="黑体"/>
          <w:snapToGrid w:val="0"/>
          <w:kern w:val="0"/>
          <w:sz w:val="32"/>
          <w:szCs w:val="32"/>
          <w:highlight w:val="none"/>
          <w:lang w:val="en-US" w:eastAsia="zh-CN" w:bidi="ar-SA"/>
        </w:rPr>
        <w:t>三、事故应急处置及评估情况</w:t>
      </w:r>
      <w:bookmarkEnd w:id="26"/>
      <w:bookmarkEnd w:id="27"/>
      <w:r>
        <w:rPr>
          <w:rFonts w:hint="eastAsia" w:ascii="黑体" w:hAnsi="黑体" w:eastAsia="黑体" w:cs="黑体"/>
          <w:snapToGrid w:val="0"/>
          <w:kern w:val="0"/>
          <w:sz w:val="32"/>
          <w:szCs w:val="32"/>
          <w:highlight w:val="none"/>
          <w:lang w:val="en-US" w:eastAsia="zh-CN" w:bidi="ar-SA"/>
        </w:rPr>
        <w:t xml:space="preserve"> </w:t>
      </w:r>
    </w:p>
    <w:p w14:paraId="79D6621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31" w:name="_Toc5277"/>
      <w:bookmarkStart w:id="32" w:name="_Toc18559"/>
      <w:r>
        <w:rPr>
          <w:rFonts w:hint="eastAsia" w:ascii="黑体" w:hAnsi="黑体" w:eastAsia="黑体" w:cs="黑体"/>
          <w:b w:val="0"/>
          <w:bCs w:val="0"/>
          <w:snapToGrid w:val="0"/>
          <w:color w:val="auto"/>
          <w:kern w:val="0"/>
          <w:sz w:val="32"/>
          <w:szCs w:val="32"/>
          <w:highlight w:val="none"/>
          <w:lang w:val="en-US" w:eastAsia="zh-CN" w:bidi="ar-SA"/>
        </w:rPr>
        <w:t>（一）事故信息接报及响应情况</w:t>
      </w:r>
      <w:bookmarkEnd w:id="31"/>
      <w:bookmarkEnd w:id="32"/>
    </w:p>
    <w:p w14:paraId="27955C4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snapToGrid w:val="0"/>
          <w:color w:val="auto"/>
          <w:kern w:val="0"/>
          <w:sz w:val="32"/>
          <w:szCs w:val="32"/>
          <w:highlight w:val="none"/>
          <w:lang w:val="en-US" w:eastAsia="zh-CN" w:bidi="ar-SA"/>
        </w:rPr>
      </w:pPr>
      <w:r>
        <w:rPr>
          <w:rFonts w:hint="eastAsia" w:ascii="仿宋_GB2312" w:hAnsi="仿宋_GB2312" w:eastAsia="仿宋_GB2312" w:cs="仿宋_GB2312"/>
          <w:b w:val="0"/>
          <w:bCs w:val="0"/>
          <w:snapToGrid w:val="0"/>
          <w:color w:val="auto"/>
          <w:kern w:val="0"/>
          <w:sz w:val="32"/>
          <w:szCs w:val="32"/>
          <w:highlight w:val="none"/>
          <w:lang w:val="en-US" w:eastAsia="zh-CN" w:bidi="ar-SA"/>
        </w:rPr>
        <w:t>2026年3月20日17时09分许，根河市公安局110接警中心接到报警人谢岩青电话称在根白线7至8公里处，蒙E78277大客车发生侧翻事故，车上有多名乘客，18点0分120急救车、消防大队到达现场。17时30分根河市公安局向根河市政府报告事故情况。18时许根河市政府向呼伦贝尔市安委办报告事故情况。19时25分，根河市应急管理局接到根河市政府值班信息，根河至白鹿岛公路5公里处一运材车辆与海拉尔至莫尔道嘎客车发生剐蹭，致客车侧翻。交通事故发生后，根河市委、市政府主要领导第一时间安排部署，市政府分管公安工作副市长和分管交通工作副市长，组织根河市公安局、根</w:t>
      </w:r>
      <w:r>
        <w:rPr>
          <w:rFonts w:hint="eastAsia" w:ascii="仿宋_GB2312" w:hAnsi="仿宋_GB2312" w:eastAsia="仿宋_GB2312" w:cs="仿宋_GB2312"/>
          <w:snapToGrid w:val="0"/>
          <w:color w:val="auto"/>
          <w:kern w:val="0"/>
          <w:sz w:val="32"/>
          <w:szCs w:val="32"/>
          <w:highlight w:val="none"/>
          <w:lang w:val="en-US" w:eastAsia="zh-CN" w:bidi="ar-SA"/>
        </w:rPr>
        <w:t>河市公安局交通管理大队、</w:t>
      </w:r>
      <w:r>
        <w:rPr>
          <w:rFonts w:hint="eastAsia" w:ascii="仿宋_GB2312" w:hAnsi="仿宋_GB2312" w:eastAsia="仿宋_GB2312" w:cs="仿宋_GB2312"/>
          <w:b w:val="0"/>
          <w:bCs w:val="0"/>
          <w:snapToGrid w:val="0"/>
          <w:color w:val="auto"/>
          <w:kern w:val="0"/>
          <w:sz w:val="32"/>
          <w:szCs w:val="32"/>
          <w:highlight w:val="none"/>
          <w:lang w:val="en-US" w:eastAsia="zh-CN" w:bidi="ar-SA"/>
        </w:rPr>
        <w:t>根河市卫健委、根河市交通运输局</w:t>
      </w:r>
      <w:r>
        <w:rPr>
          <w:rFonts w:hint="eastAsia" w:ascii="仿宋_GB2312" w:hAnsi="仿宋_GB2312" w:eastAsia="仿宋_GB2312" w:cs="仿宋_GB2312"/>
          <w:snapToGrid w:val="0"/>
          <w:color w:val="auto"/>
          <w:kern w:val="0"/>
          <w:sz w:val="32"/>
          <w:szCs w:val="32"/>
          <w:highlight w:val="none"/>
          <w:lang w:val="en-US" w:eastAsia="zh-CN" w:bidi="ar-SA"/>
        </w:rPr>
        <w:t>、</w:t>
      </w:r>
      <w:r>
        <w:rPr>
          <w:rFonts w:hint="eastAsia" w:ascii="仿宋_GB2312" w:hAnsi="仿宋_GB2312" w:eastAsia="仿宋_GB2312" w:cs="仿宋_GB2312"/>
          <w:b w:val="0"/>
          <w:bCs w:val="0"/>
          <w:snapToGrid w:val="0"/>
          <w:color w:val="auto"/>
          <w:kern w:val="0"/>
          <w:sz w:val="32"/>
          <w:szCs w:val="32"/>
          <w:highlight w:val="none"/>
          <w:lang w:val="en-US" w:eastAsia="zh-CN" w:bidi="ar-SA"/>
        </w:rPr>
        <w:t>根河市应急管理局、根河市消防救援大队等部门一并赶赴现场开展救援工作。经现场核实，海拉尔至莫尔道嘎大型普通客车蒙E78277（核载45人，实载29人，其中乘客27人，司机、乘务人员2人）与重型半挂牵引车黑ES9908剐蹭后发生侧翻，该起事故有2人死亡，4人住院观察，11人检查无碍后陆续离开医院。</w:t>
      </w:r>
    </w:p>
    <w:p w14:paraId="4226B294">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33" w:name="_Toc27330"/>
      <w:bookmarkStart w:id="34" w:name="_Toc3117"/>
      <w:r>
        <w:rPr>
          <w:rFonts w:hint="eastAsia" w:ascii="黑体" w:hAnsi="黑体" w:eastAsia="黑体" w:cs="黑体"/>
          <w:b w:val="0"/>
          <w:bCs w:val="0"/>
          <w:snapToGrid w:val="0"/>
          <w:color w:val="auto"/>
          <w:kern w:val="0"/>
          <w:sz w:val="32"/>
          <w:szCs w:val="32"/>
          <w:highlight w:val="none"/>
          <w:lang w:val="en-US" w:eastAsia="zh-CN" w:bidi="ar-SA"/>
        </w:rPr>
        <w:t>（二）事故现场应急处置情况</w:t>
      </w:r>
      <w:bookmarkEnd w:id="33"/>
      <w:bookmarkEnd w:id="34"/>
    </w:p>
    <w:p w14:paraId="6DA200D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b w:val="0"/>
          <w:bCs w:val="0"/>
          <w:snapToGrid w:val="0"/>
          <w:color w:val="auto"/>
          <w:kern w:val="0"/>
          <w:sz w:val="32"/>
          <w:szCs w:val="32"/>
          <w:highlight w:val="none"/>
          <w:lang w:val="en-US" w:eastAsia="zh-CN" w:bidi="ar-SA"/>
        </w:rPr>
      </w:pPr>
      <w:bookmarkStart w:id="35" w:name="_Toc24960"/>
      <w:r>
        <w:rPr>
          <w:rFonts w:hint="eastAsia" w:ascii="仿宋_GB2312" w:hAnsi="仿宋_GB2312" w:eastAsia="仿宋_GB2312" w:cs="仿宋_GB2312"/>
          <w:b w:val="0"/>
          <w:bCs w:val="0"/>
          <w:snapToGrid w:val="0"/>
          <w:color w:val="auto"/>
          <w:kern w:val="0"/>
          <w:sz w:val="32"/>
          <w:szCs w:val="32"/>
          <w:highlight w:val="none"/>
          <w:lang w:val="en-US" w:eastAsia="zh-CN" w:bidi="ar-SA"/>
        </w:rPr>
        <w:t>事故发生后2026年3月20日18点0分120急救车、消防大队到达现场，经急救医生确认熊XX、涂桂芳两人当场死亡，18点10分左右根河市公安局交通管理大队事故中队到达现场开展救援、维护交通工作，18时50分左右，救援人员陆续发现掩埋人员，并将伤者曲X、曲桂芳、冉XX、赵X送往根河市人民医院救治。冉XX于3月20日转至呼伦贝尔市人民医院救治，赵X于3月21日转至哈尔滨医科大二院救治</w:t>
      </w:r>
    </w:p>
    <w:bookmarkEnd w:id="35"/>
    <w:p w14:paraId="7E4C69B1">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36" w:name="_Toc2721"/>
      <w:bookmarkStart w:id="37" w:name="_Toc30963"/>
      <w:r>
        <w:rPr>
          <w:rFonts w:hint="eastAsia" w:ascii="黑体" w:hAnsi="黑体" w:eastAsia="黑体" w:cs="黑体"/>
          <w:b w:val="0"/>
          <w:bCs w:val="0"/>
          <w:snapToGrid w:val="0"/>
          <w:color w:val="auto"/>
          <w:kern w:val="0"/>
          <w:sz w:val="32"/>
          <w:szCs w:val="32"/>
          <w:highlight w:val="none"/>
          <w:lang w:val="en-US" w:eastAsia="zh-CN" w:bidi="ar-SA"/>
        </w:rPr>
        <w:t>（三）事故应急处置评估</w:t>
      </w:r>
      <w:bookmarkEnd w:id="36"/>
      <w:bookmarkEnd w:id="37"/>
    </w:p>
    <w:p w14:paraId="6EAAA7C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黑体" w:hAnsi="黑体" w:eastAsia="黑体" w:cs="黑体"/>
          <w:snapToGrid w:val="0"/>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根据调查询问和各单位提供资料，调查组认为事故发生后，属地救援部门能够根据辖区特点因地制宜的组织进行自救。事故发生企业接到报告后，第一时间启动应急响应，并迅速报告事故，积极救治遇难者，各救援单位始终坚持“两个至上”，统筹调度各方力量，有效控制救援风险，安全有序开展救援工作，且及时救治受伤人员，积极稳妥开展处置工作。</w:t>
      </w:r>
    </w:p>
    <w:p w14:paraId="6ADD091D">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bidi="ar-SA"/>
        </w:rPr>
      </w:pPr>
      <w:bookmarkStart w:id="38" w:name="_Toc13998"/>
      <w:r>
        <w:rPr>
          <w:rFonts w:hint="eastAsia" w:ascii="黑体" w:hAnsi="黑体" w:eastAsia="黑体" w:cs="黑体"/>
          <w:snapToGrid w:val="0"/>
          <w:kern w:val="0"/>
          <w:sz w:val="32"/>
          <w:szCs w:val="32"/>
          <w:highlight w:val="none"/>
          <w:lang w:val="en-US" w:eastAsia="zh-CN" w:bidi="ar-SA"/>
        </w:rPr>
        <w:t>四、事故原因分析</w:t>
      </w:r>
      <w:bookmarkEnd w:id="28"/>
      <w:bookmarkEnd w:id="29"/>
      <w:bookmarkEnd w:id="30"/>
      <w:bookmarkEnd w:id="38"/>
    </w:p>
    <w:p w14:paraId="0AB77792">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39" w:name="heading_9"/>
      <w:bookmarkStart w:id="40" w:name="_Toc13830"/>
      <w:r>
        <w:rPr>
          <w:rFonts w:hint="eastAsia" w:ascii="黑体" w:hAnsi="黑体" w:eastAsia="黑体" w:cs="黑体"/>
          <w:b w:val="0"/>
          <w:bCs w:val="0"/>
          <w:snapToGrid w:val="0"/>
          <w:color w:val="auto"/>
          <w:kern w:val="0"/>
          <w:sz w:val="32"/>
          <w:szCs w:val="32"/>
          <w:highlight w:val="none"/>
          <w:lang w:val="en-US" w:eastAsia="zh-CN" w:bidi="ar-SA"/>
        </w:rPr>
        <w:t>（一）直接原因分析</w:t>
      </w:r>
      <w:bookmarkEnd w:id="39"/>
      <w:bookmarkEnd w:id="40"/>
    </w:p>
    <w:p w14:paraId="52975E0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本次事故的直接原因是双方驾驶员的违法行为共同作用导致：</w:t>
      </w:r>
    </w:p>
    <w:p w14:paraId="03A14DE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 张XX：严重超速行驶，在弯道处未合理控制车速，采取应急措施不当，导致车辆侧滑驶入对向车道，且驾驶机件不符合安全标准的车辆上路行驶，违反道路交通安全相关法律法规，直接引发事故碰撞；</w:t>
      </w:r>
    </w:p>
    <w:p w14:paraId="6426085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 赵X：擅自改变车辆登记结构，驾驶无号牌自制挂车，超速行驶且装载超宽，占用对向车道通行，同时驾驶机件不符合安全标准的车辆上路行驶，违反道路交通安全相关法律法规，与张XX的违法行为叠加，导致事故发生并扩大损害后果。</w:t>
      </w:r>
    </w:p>
    <w:p w14:paraId="2D60DC7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41" w:name="_Toc31255"/>
      <w:bookmarkStart w:id="42" w:name="heading_10"/>
      <w:r>
        <w:rPr>
          <w:rFonts w:hint="eastAsia" w:ascii="黑体" w:hAnsi="黑体" w:eastAsia="黑体" w:cs="黑体"/>
          <w:b w:val="0"/>
          <w:bCs w:val="0"/>
          <w:snapToGrid w:val="0"/>
          <w:color w:val="auto"/>
          <w:kern w:val="0"/>
          <w:sz w:val="32"/>
          <w:szCs w:val="32"/>
          <w:highlight w:val="none"/>
          <w:lang w:val="en-US" w:eastAsia="zh-CN" w:bidi="ar-SA"/>
        </w:rPr>
        <w:t>（二）事故相关检验检测和鉴定情况</w:t>
      </w:r>
      <w:bookmarkEnd w:id="41"/>
      <w:bookmarkEnd w:id="42"/>
    </w:p>
    <w:p w14:paraId="0B8EF05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本次事故已委托相关机构开展检验检测和鉴定工作，出具司法鉴定报告，结合呼吸式酒精检测单等证据，确认以下情况：</w:t>
      </w:r>
    </w:p>
    <w:p w14:paraId="108CC78B">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 双方驾驶员呼吸式酒精检测结果未提及异常，排除酒后驾驶嫌疑；</w:t>
      </w:r>
    </w:p>
    <w:p w14:paraId="4274F56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 经司法鉴定，蒙E78277大型普通客车、黑ES9908重型半挂牵引车均存在机件不符合安全标准的情况，存在安全隐患；</w:t>
      </w:r>
    </w:p>
    <w:p w14:paraId="2D02ADE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3. 司法鉴定确认张XX存在严重超速行为，赵X存在超速、装载超宽及擅自改变车辆结构的行为，与事故现场勘查情况、当事人陈述一致。</w:t>
      </w:r>
    </w:p>
    <w:p w14:paraId="6784275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43" w:name="heading_11"/>
      <w:bookmarkStart w:id="44" w:name="_Toc25732"/>
      <w:r>
        <w:rPr>
          <w:rFonts w:hint="eastAsia" w:ascii="黑体" w:hAnsi="黑体" w:eastAsia="黑体" w:cs="黑体"/>
          <w:b w:val="0"/>
          <w:bCs w:val="0"/>
          <w:snapToGrid w:val="0"/>
          <w:color w:val="auto"/>
          <w:kern w:val="0"/>
          <w:sz w:val="32"/>
          <w:szCs w:val="32"/>
          <w:highlight w:val="none"/>
          <w:lang w:val="en-US" w:eastAsia="zh-CN" w:bidi="ar-SA"/>
        </w:rPr>
        <w:t>（三）其他可能因素排除</w:t>
      </w:r>
      <w:bookmarkEnd w:id="43"/>
      <w:bookmarkEnd w:id="44"/>
    </w:p>
    <w:p w14:paraId="2D4FF35D">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经全面调查核实，排除以下可能导致事故的因素：</w:t>
      </w:r>
    </w:p>
    <w:p w14:paraId="37CAC71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 排除不可抗力因素（如地震、洪水、突发路面坍塌等），事故发生时天气晴朗，道路冰雪覆盖为可预见的常规路况，并非突发极端天气；</w:t>
      </w:r>
    </w:p>
    <w:p w14:paraId="1C62DEE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 排除第三方干扰因素，事故现场无其他车辆、行人干扰通行，无道路施工、交通信号故障等影响通行的情况；</w:t>
      </w:r>
    </w:p>
    <w:p w14:paraId="410DCC1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3. 排除驾驶员疲劳驾驶、毒驾等违法行为，结合当事人陈述、视频资料及检测结果，确认双方驾驶员事发时状态正常，无疲劳驾驶、毒驾嫌疑；</w:t>
      </w:r>
    </w:p>
    <w:p w14:paraId="0902EE5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4. 排除车辆突发故障因素，两车的安全隐患为长期存在的问题，并非事发时突发故障导致事故。</w:t>
      </w:r>
    </w:p>
    <w:p w14:paraId="37FEE14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45" w:name="heading_12"/>
      <w:bookmarkStart w:id="46" w:name="_Toc19084"/>
      <w:r>
        <w:rPr>
          <w:rFonts w:hint="eastAsia" w:ascii="黑体" w:hAnsi="黑体" w:eastAsia="黑体" w:cs="黑体"/>
          <w:b w:val="0"/>
          <w:bCs w:val="0"/>
          <w:snapToGrid w:val="0"/>
          <w:color w:val="auto"/>
          <w:kern w:val="0"/>
          <w:sz w:val="32"/>
          <w:szCs w:val="32"/>
          <w:highlight w:val="none"/>
          <w:lang w:val="en-US" w:eastAsia="zh-CN" w:bidi="ar-SA"/>
        </w:rPr>
        <w:t>（四）间接原因分析</w:t>
      </w:r>
      <w:bookmarkEnd w:id="45"/>
      <w:bookmarkEnd w:id="46"/>
    </w:p>
    <w:p w14:paraId="6BF17CA2">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本次事故的间接原因主要是涉事车辆所属企业安全生产主体责任落实不到位，管理存在严重漏洞，未能有效防范驾驶员违法行为，具体如下：</w:t>
      </w:r>
    </w:p>
    <w:p w14:paraId="242E04FD">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 呼伦贝尔市天元运业（集团）额尔古纳有限责任公司未履行安全生产管理职责，驾驶员安全教育培训不到位、动态监控缺位，未能及时发现和制止张XX的违法驾驶行为；</w:t>
      </w:r>
    </w:p>
    <w:p w14:paraId="23EE9B84">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 大庆市萨尔图区赵X货物运输服务部对挂靠车辆实行“挂而不管”的粗放管理模式，安全教育培训缺失、动态监控监管缺位，未能对赵X的车辆改装、超速、超宽装载等违法行为进行有效管控；</w:t>
      </w:r>
    </w:p>
    <w:p w14:paraId="55A715F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3. 呼伦贝尔市天元运业（集团）额尔古纳有限责任公司、大庆市萨尔图区赵X货物运输服务部均存在安全管理制度不健全，未落实常态化安全隐患排查，对车辆机件安全状况监管不到位，导致存在安全隐患的车辆上路行驶，为事故发生埋下隐患。</w:t>
      </w:r>
    </w:p>
    <w:p w14:paraId="4C980D88">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bidi="ar-SA"/>
        </w:rPr>
      </w:pPr>
      <w:bookmarkStart w:id="47" w:name="_Toc3322"/>
      <w:bookmarkStart w:id="48" w:name="_Toc14642"/>
      <w:bookmarkStart w:id="49" w:name="_Toc6143"/>
      <w:bookmarkStart w:id="50" w:name="heading_13"/>
      <w:r>
        <w:rPr>
          <w:rFonts w:hint="eastAsia" w:ascii="黑体" w:hAnsi="黑体" w:eastAsia="黑体" w:cs="黑体"/>
          <w:snapToGrid w:val="0"/>
          <w:kern w:val="0"/>
          <w:sz w:val="32"/>
          <w:szCs w:val="32"/>
          <w:highlight w:val="none"/>
          <w:lang w:val="en-US" w:eastAsia="zh-CN" w:bidi="ar-SA"/>
        </w:rPr>
        <w:t>五、有关责任单位存在的主要问题</w:t>
      </w:r>
      <w:bookmarkEnd w:id="47"/>
      <w:bookmarkEnd w:id="48"/>
      <w:bookmarkEnd w:id="49"/>
      <w:bookmarkEnd w:id="50"/>
    </w:p>
    <w:p w14:paraId="2A3CD40B">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51" w:name="heading_14"/>
      <w:bookmarkStart w:id="52" w:name="_Toc31441"/>
      <w:r>
        <w:rPr>
          <w:rFonts w:hint="eastAsia" w:ascii="黑体" w:hAnsi="黑体" w:eastAsia="黑体" w:cs="黑体"/>
          <w:b w:val="0"/>
          <w:bCs w:val="0"/>
          <w:snapToGrid w:val="0"/>
          <w:color w:val="auto"/>
          <w:kern w:val="0"/>
          <w:sz w:val="32"/>
          <w:szCs w:val="32"/>
          <w:highlight w:val="none"/>
          <w:lang w:val="en-US" w:eastAsia="zh-CN" w:bidi="ar-SA"/>
        </w:rPr>
        <w:t>（一）呼伦贝尔市天元运业（集团）额尔古纳有限公司</w:t>
      </w:r>
      <w:bookmarkEnd w:id="51"/>
      <w:bookmarkEnd w:id="52"/>
    </w:p>
    <w:p w14:paraId="09C14F7B">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 驾驶员安全教育培训不到位。未严格按照《中华人民共和国安全生产法》第二十五条、《道路运输车辆动态监督管理办法》第三十五条规定，定期组织驾驶员开展安全生产法律法规、安全驾驶技能、应急处置能力等方面的教育培训，培训内容流于形式、针对性不强，未建立完整的培训档案和驾驶员培训记录，导致驾驶员安全意识淡薄，违法驾驶行为未能得到有效纠正。</w:t>
      </w:r>
    </w:p>
    <w:p w14:paraId="67B9241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 动态监控人员监控不到位。未严格落实《道路运输车辆动态监督管理办法》，存在监控平台疏于值守、监控记录缺失的问题，未能及时发现张XX驾驶车辆严重超速等违法行为，无法及时发出预警、制止违法操作，未能发挥动态监控的监管作用。</w:t>
      </w:r>
    </w:p>
    <w:p w14:paraId="38E06FCA">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3. 车辆安全管理不到位。未建立健全车辆安全隐患排查机制，对蒙E78277大型普通客车的机件安全状况监管缺位，导致存在安全隐患的车辆上路行驶，未能及时消除安全风险。</w:t>
      </w:r>
    </w:p>
    <w:p w14:paraId="68EBBF83">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53" w:name="heading_15"/>
      <w:bookmarkStart w:id="54" w:name="_Toc6616"/>
      <w:r>
        <w:rPr>
          <w:rFonts w:hint="eastAsia" w:ascii="黑体" w:hAnsi="黑体" w:eastAsia="黑体" w:cs="黑体"/>
          <w:b w:val="0"/>
          <w:bCs w:val="0"/>
          <w:snapToGrid w:val="0"/>
          <w:color w:val="auto"/>
          <w:kern w:val="0"/>
          <w:sz w:val="32"/>
          <w:szCs w:val="32"/>
          <w:highlight w:val="none"/>
          <w:lang w:val="en-US" w:eastAsia="zh-CN" w:bidi="ar-SA"/>
        </w:rPr>
        <w:t>（二）大庆市萨尔图区赵X货物运输服务部</w:t>
      </w:r>
      <w:bookmarkEnd w:id="53"/>
      <w:bookmarkEnd w:id="54"/>
    </w:p>
    <w:p w14:paraId="76A16A4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 挂靠管理模式粗放，实行“挂而不管”。对黑ES9908重型半挂牵引车的挂靠管理流于形式，未履行对挂靠车辆及驾驶员的安全管理职责，未建立完善的安全管理制度。</w:t>
      </w:r>
    </w:p>
    <w:p w14:paraId="4043CE9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 安全教育培训缺失。未组织挂靠车辆驾驶员开展安全生产法律法规、安全驾驶技能等方面的教育培训，驾驶员安全意识薄弱，对擅自改装车辆、超速、超宽装载等违法行为的危害性认识不足。</w:t>
      </w:r>
    </w:p>
    <w:p w14:paraId="120D1AEC">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3. 动态监控监管缺位。未落实车辆动态监控相关规定，未对挂靠车辆的行驶状态进行有效监控，未能及时发现和制止赵X的超速、超宽装载等违法驾驶行为。</w:t>
      </w:r>
    </w:p>
    <w:p w14:paraId="73F72DD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4. 车辆安全监管不到位。未对挂靠车辆的结构、装载情况及机件安全状况进行定期检查，对赵X擅自改变车辆登记结构、驾驶存在安全隐患车辆上路行驶等行为未及时发现和纠正。</w:t>
      </w:r>
    </w:p>
    <w:p w14:paraId="77EC0E3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bidi="ar-SA"/>
        </w:rPr>
      </w:pPr>
      <w:bookmarkStart w:id="55" w:name="_Toc13825"/>
      <w:bookmarkStart w:id="56" w:name="_Toc838"/>
      <w:bookmarkStart w:id="57" w:name="heading_16"/>
      <w:bookmarkStart w:id="58" w:name="_Toc11087"/>
      <w:r>
        <w:rPr>
          <w:rFonts w:hint="eastAsia" w:ascii="黑体" w:hAnsi="黑体" w:eastAsia="黑体" w:cs="黑体"/>
          <w:snapToGrid w:val="0"/>
          <w:kern w:val="0"/>
          <w:sz w:val="32"/>
          <w:szCs w:val="32"/>
          <w:highlight w:val="none"/>
          <w:lang w:val="en-US" w:eastAsia="zh-CN" w:bidi="ar-SA"/>
        </w:rPr>
        <w:t>六、对有关责任人员和责任单位的处理建议</w:t>
      </w:r>
      <w:bookmarkEnd w:id="55"/>
      <w:bookmarkEnd w:id="56"/>
      <w:bookmarkEnd w:id="57"/>
      <w:bookmarkEnd w:id="58"/>
    </w:p>
    <w:p w14:paraId="5B6E62CB">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59" w:name="heading_17"/>
      <w:bookmarkStart w:id="60" w:name="_Toc29368"/>
      <w:r>
        <w:rPr>
          <w:rFonts w:hint="eastAsia" w:ascii="黑体" w:hAnsi="黑体" w:eastAsia="黑体" w:cs="黑体"/>
          <w:b w:val="0"/>
          <w:bCs w:val="0"/>
          <w:snapToGrid w:val="0"/>
          <w:color w:val="auto"/>
          <w:kern w:val="0"/>
          <w:sz w:val="32"/>
          <w:szCs w:val="32"/>
          <w:highlight w:val="none"/>
          <w:lang w:val="en-US" w:eastAsia="zh-CN" w:bidi="ar-SA"/>
        </w:rPr>
        <w:t>（一）有关责任人员处理建议</w:t>
      </w:r>
      <w:bookmarkEnd w:id="59"/>
      <w:bookmarkEnd w:id="60"/>
    </w:p>
    <w:p w14:paraId="117D98A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 张XX：其驾驶机动车严重超速、采取措施不当、驾驶具有安全隐患的车辆上路行驶，违反道路交通安全相关法律法规，对事故发生负同等责任，且</w:t>
      </w:r>
      <w:r>
        <w:rPr>
          <w:rFonts w:hint="eastAsia" w:ascii="仿宋_GB2312" w:eastAsia="仿宋_GB2312"/>
          <w:sz w:val="32"/>
          <w:szCs w:val="32"/>
        </w:rPr>
        <w:t>涉及严重超速危险驾驶</w:t>
      </w:r>
      <w:r>
        <w:rPr>
          <w:rFonts w:hint="eastAsia" w:ascii="仿宋_GB2312" w:hAnsi="仿宋_GB2312" w:eastAsia="仿宋_GB2312" w:cs="仿宋_GB2312"/>
          <w:snapToGrid w:val="0"/>
          <w:color w:val="auto"/>
          <w:kern w:val="0"/>
          <w:sz w:val="32"/>
          <w:szCs w:val="32"/>
          <w:highlight w:val="none"/>
          <w:lang w:val="en-US" w:eastAsia="zh-CN" w:bidi="ar-SA"/>
        </w:rPr>
        <w:t>，根河市公安局已于5月6日对其危险驾驶行为立案侦查，建议由根河市公安局依法追究其相关法律责任。</w:t>
      </w:r>
    </w:p>
    <w:p w14:paraId="51ED5AE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 赵X：其擅自改变机动车已登记结构、超速行驶、装载超宽，且使用失效道路运输从业资格证非法从事道路货物运输，违反道路交通安全及道路运输相关法律法规，对事故发生负同等责任。建议由根河市公安局交通管理大队依法追究其相关法律责任。</w:t>
      </w:r>
    </w:p>
    <w:p w14:paraId="71D2A54C">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61" w:name="_Toc4802"/>
      <w:bookmarkStart w:id="62" w:name="heading_18"/>
      <w:r>
        <w:rPr>
          <w:rFonts w:hint="eastAsia" w:ascii="黑体" w:hAnsi="黑体" w:eastAsia="黑体" w:cs="黑体"/>
          <w:b w:val="0"/>
          <w:bCs w:val="0"/>
          <w:snapToGrid w:val="0"/>
          <w:color w:val="auto"/>
          <w:kern w:val="0"/>
          <w:sz w:val="32"/>
          <w:szCs w:val="32"/>
          <w:highlight w:val="none"/>
          <w:lang w:val="en-US" w:eastAsia="zh-CN" w:bidi="ar-SA"/>
        </w:rPr>
        <w:t>（二）有关责任单位处理建议</w:t>
      </w:r>
      <w:bookmarkEnd w:id="61"/>
      <w:bookmarkEnd w:id="62"/>
    </w:p>
    <w:p w14:paraId="4544E74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3. 呼伦贝尔市天元运业（集团）额尔古纳有限公司：该公司未履行安全生产主体责任，存在驾驶员安全教育培训不到位、动态监控缺位、车辆安全管理不到位等违法违规行为，对事故发生负有管理责任。建议根河市交通运输局联系额尔古纳交通运输局对责任单位依法追究相关责任。</w:t>
      </w:r>
    </w:p>
    <w:p w14:paraId="3981CFC2">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yellow"/>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4. 大庆市萨尔图区赵X货物运输服务部：该公司对挂靠车辆实行“挂而不管”，安全教育培训缺失、动态监控缺位、车辆安全监管不到位，对事故发生负有管理责任。建议由根河市交通运输综合行政执法支队联系大庆市交通运输综合行政执法支队对责任单位依法追究相关责任。</w:t>
      </w:r>
    </w:p>
    <w:p w14:paraId="4B25D5BB">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default" w:ascii="黑体" w:hAnsi="黑体" w:eastAsia="黑体" w:cs="黑体"/>
          <w:b w:val="0"/>
          <w:bCs w:val="0"/>
          <w:snapToGrid w:val="0"/>
          <w:color w:val="auto"/>
          <w:kern w:val="0"/>
          <w:sz w:val="32"/>
          <w:szCs w:val="32"/>
          <w:highlight w:val="none"/>
          <w:lang w:val="en-US" w:eastAsia="zh-CN" w:bidi="ar-SA"/>
        </w:rPr>
      </w:pPr>
      <w:bookmarkStart w:id="63" w:name="_Toc21190"/>
      <w:r>
        <w:rPr>
          <w:rFonts w:hint="eastAsia" w:ascii="黑体" w:hAnsi="黑体" w:eastAsia="黑体" w:cs="黑体"/>
          <w:b w:val="0"/>
          <w:bCs w:val="0"/>
          <w:snapToGrid w:val="0"/>
          <w:color w:val="auto"/>
          <w:kern w:val="0"/>
          <w:sz w:val="32"/>
          <w:szCs w:val="32"/>
          <w:highlight w:val="none"/>
          <w:lang w:val="en-US" w:eastAsia="zh-CN" w:bidi="ar-SA"/>
        </w:rPr>
        <w:t>（三）有关责任部门处理建议</w:t>
      </w:r>
      <w:bookmarkEnd w:id="63"/>
    </w:p>
    <w:p w14:paraId="1DDBAB46">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bookmarkStart w:id="64" w:name="_Toc10063"/>
      <w:bookmarkStart w:id="65" w:name="_Toc20686"/>
      <w:bookmarkStart w:id="66" w:name="_Toc27007"/>
      <w:bookmarkStart w:id="67" w:name="heading_20"/>
      <w:r>
        <w:rPr>
          <w:rFonts w:hint="eastAsia" w:ascii="仿宋_GB2312" w:hAnsi="仿宋_GB2312" w:eastAsia="仿宋_GB2312" w:cs="仿宋_GB2312"/>
          <w:snapToGrid w:val="0"/>
          <w:color w:val="auto"/>
          <w:kern w:val="0"/>
          <w:sz w:val="32"/>
          <w:szCs w:val="32"/>
          <w:highlight w:val="none"/>
          <w:lang w:val="en-US" w:eastAsia="zh-CN" w:bidi="ar-SA"/>
        </w:rPr>
        <w:t>5.根河市交通运输局在行业安全监管工作中，存在履职不够细致的问题。主要是对辖区内道路运输车辆监管不到位，日常监管环节存在疏漏；行业安全隐患排查不够全面，对部分违法违规经营行为查处不够及时；在道路通行安全保障，安全监管存在薄弱环节，未能全面筑牢行业安全防控防线。建议根河市人民政府对根河市交通运输局下属事业单位根河市交通运输综合行政执法大队相关责任人进行提醒谈话。</w:t>
      </w:r>
    </w:p>
    <w:p w14:paraId="59DA1D7C">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6.根河市公安局交通管理大队巡逻管理不到位，根据路长制相关工作要求，督促指导包保路线巡逻管控、交通违法查处工作不到位。建议根河市政府对根河市公安局交通管理大队相关责任人进行约谈，并在一定范围内通报。</w:t>
      </w:r>
    </w:p>
    <w:p w14:paraId="286DC83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bidi="ar-SA"/>
        </w:rPr>
      </w:pPr>
    </w:p>
    <w:p w14:paraId="5F31CA05">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bidi="ar-SA"/>
        </w:rPr>
      </w:pPr>
      <w:r>
        <w:rPr>
          <w:rFonts w:hint="eastAsia" w:ascii="黑体" w:hAnsi="黑体" w:eastAsia="黑体" w:cs="黑体"/>
          <w:snapToGrid w:val="0"/>
          <w:kern w:val="0"/>
          <w:sz w:val="32"/>
          <w:szCs w:val="32"/>
          <w:highlight w:val="none"/>
          <w:lang w:val="en-US" w:eastAsia="zh-CN" w:bidi="ar-SA"/>
        </w:rPr>
        <w:t>七、事故主要教训</w:t>
      </w:r>
      <w:bookmarkEnd w:id="64"/>
      <w:bookmarkEnd w:id="65"/>
      <w:bookmarkEnd w:id="66"/>
      <w:bookmarkEnd w:id="67"/>
    </w:p>
    <w:p w14:paraId="2968399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本次事故造成2人死亡、多人受伤、双方车辆损坏的严重后果，教训深刻，主要有以下几点：</w:t>
      </w:r>
    </w:p>
    <w:p w14:paraId="7F66E778">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 驾驶员安全意识淡薄是事故发生的直接诱因。张XX、赵X均无视道路交通安全法律法规，存在多项违法驾驶行为，严重超速、擅自改装车辆、超宽装载等行为，漠视自身及他人生命财产安全，未充分认识到违法驾驶的严   重危害性，最终导致事故发生。</w:t>
      </w:r>
    </w:p>
    <w:p w14:paraId="3610076E">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 企业安全生产主体责任落实不到位是事故发生的重要根源。涉事两家企业均存在严重的安全管理漏洞，安全教育培训流于形式、动态监控缺位、车辆安全监管不到位，未能有效履行安全管理职责，对驾驶员的违法驾驶行为未能及时发现和制止，为事故发生埋下了严重隐患。</w:t>
      </w:r>
    </w:p>
    <w:p w14:paraId="638E41E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3. 挂靠车辆管理存在短板。大庆市萨尔图区赵X货物运输服务部对挂靠车辆实行“挂而不管”的粗放管理模式，未能对挂靠车辆及驾驶员进行有效监管，成为道路交通安全的薄弱环节，亟需规范挂靠管理，压实企业管理责任。</w:t>
      </w:r>
    </w:p>
    <w:p w14:paraId="2157DC22">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4. 路面管控和源头监管仍需加强。相关监管部门对重点路段、重点车辆的管控频次和力度仍有不足，对企业的源头监管不够严格，未能及时发现和消除企业安全管理漏洞及车辆安全隐患，监管效能有待提升。</w:t>
      </w:r>
    </w:p>
    <w:p w14:paraId="5A87E9D9">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5. 安全宣传教育不够深入。对驾驶员的常态化安全教育培训不够扎实，培训内容针对性不强，未能有效提升驾驶员的安全意识和应急处置能力，部分驾驶员对违法驾驶行为的法律后果认识不足。</w:t>
      </w:r>
    </w:p>
    <w:p w14:paraId="27EB1170">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0"/>
        <w:rPr>
          <w:rFonts w:hint="eastAsia" w:ascii="黑体" w:hAnsi="黑体" w:eastAsia="黑体" w:cs="黑体"/>
          <w:snapToGrid w:val="0"/>
          <w:kern w:val="0"/>
          <w:sz w:val="32"/>
          <w:szCs w:val="32"/>
          <w:highlight w:val="none"/>
          <w:lang w:val="en-US" w:eastAsia="zh-CN" w:bidi="ar-SA"/>
        </w:rPr>
      </w:pPr>
      <w:bookmarkStart w:id="68" w:name="_Toc15225"/>
      <w:bookmarkStart w:id="69" w:name="_Toc25558"/>
      <w:bookmarkStart w:id="70" w:name="_Toc21790"/>
      <w:bookmarkStart w:id="71" w:name="heading_21"/>
      <w:r>
        <w:rPr>
          <w:rFonts w:hint="eastAsia" w:ascii="黑体" w:hAnsi="黑体" w:eastAsia="黑体" w:cs="黑体"/>
          <w:snapToGrid w:val="0"/>
          <w:kern w:val="0"/>
          <w:sz w:val="32"/>
          <w:szCs w:val="32"/>
          <w:highlight w:val="none"/>
          <w:lang w:val="en-US" w:eastAsia="zh-CN" w:bidi="ar-SA"/>
        </w:rPr>
        <w:t>八、事故整改和防范措施</w:t>
      </w:r>
      <w:bookmarkEnd w:id="68"/>
      <w:bookmarkEnd w:id="69"/>
      <w:bookmarkEnd w:id="70"/>
      <w:bookmarkEnd w:id="71"/>
    </w:p>
    <w:p w14:paraId="3E5407AF">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72" w:name="_Toc29644"/>
      <w:bookmarkStart w:id="73" w:name="heading_22"/>
      <w:r>
        <w:rPr>
          <w:rFonts w:hint="eastAsia" w:ascii="黑体" w:hAnsi="黑体" w:eastAsia="黑体" w:cs="黑体"/>
          <w:b w:val="0"/>
          <w:bCs w:val="0"/>
          <w:snapToGrid w:val="0"/>
          <w:color w:val="auto"/>
          <w:kern w:val="0"/>
          <w:sz w:val="32"/>
          <w:szCs w:val="32"/>
          <w:highlight w:val="none"/>
          <w:lang w:val="en-US" w:eastAsia="zh-CN" w:bidi="ar-SA"/>
        </w:rPr>
        <w:t>（一）呼伦贝尔市天元运业（集团）额尔古纳有限公司</w:t>
      </w:r>
      <w:bookmarkEnd w:id="72"/>
      <w:bookmarkEnd w:id="73"/>
    </w:p>
    <w:p w14:paraId="209AC79B">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 全面落实安全生产主体责任，建立健全安全生产管理制度，明确各岗位安全职责，将安全责任层层分解、落实到人，定期开展安全生产工作自查自纠，及时消除安全隐患。</w:t>
      </w:r>
    </w:p>
    <w:p w14:paraId="67B62329">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 完善驾驶员安全教育培训制度，制定专项培训计划，定期组织全体驾驶员开展安全生产法律法规、安全驾驶技能、应急处置能力、冰雪路面驾驶技巧等方面的教育培训，培训内容注重针对性和实用性，建立真实完整的培训档案和驾驶员培训记录，培训后组织考核，考核不合格者不得上岗。</w:t>
      </w:r>
    </w:p>
    <w:p w14:paraId="48A78AE5">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3. 配齐配强专职动态监控人员，明确监控岗位职责，规范监控台账记录，确保车辆运营期间监控平台有人值守、实时监控，及时发现和处置驾驶员超速、疲劳驾驶等违法违规行为，对发现的问题及时整改并跟踪落实。</w:t>
      </w:r>
    </w:p>
    <w:p w14:paraId="6A901F59">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4. 建立健全车辆安全隐患排查机制，定期对公司所有运营车辆进行全面检查，重点排查车辆机件安全状况，对存在安全隐患的车辆立即停运整改，整改合格后方可上路行驶，坚决杜绝具有安全隐患的车辆运营。</w:t>
      </w:r>
    </w:p>
    <w:p w14:paraId="24A8837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5. 建立健全安全生产约谈警示机制，对所有驾驶员开展全覆盖约谈警示教育，通报本次事故情况及公司存在的问题，引导驾驶员深刻吸取事故教训，增强安全意识，自觉遵守道路交通安全法律法规。</w:t>
      </w:r>
    </w:p>
    <w:p w14:paraId="5672BA97">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6. 提交书面整改报告及安全生产承诺书，定期向额尔古纳市交通运输局汇报整改落实情况，接受监管部门的检查和监督，确保整改措施落地见效，长期坚持。</w:t>
      </w:r>
    </w:p>
    <w:p w14:paraId="6102E4A1">
      <w:pPr>
        <w:keepNext w:val="0"/>
        <w:keepLines w:val="0"/>
        <w:pageBreakBefore w:val="0"/>
        <w:widowControl w:val="0"/>
        <w:kinsoku/>
        <w:wordWrap/>
        <w:overflowPunct/>
        <w:topLinePunct w:val="0"/>
        <w:autoSpaceDE/>
        <w:autoSpaceDN/>
        <w:bidi w:val="0"/>
        <w:adjustRightInd/>
        <w:snapToGrid w:val="0"/>
        <w:spacing w:line="560" w:lineRule="exact"/>
        <w:ind w:firstLine="640" w:firstLineChars="200"/>
        <w:jc w:val="both"/>
        <w:textAlignment w:val="auto"/>
        <w:outlineLvl w:val="1"/>
        <w:rPr>
          <w:rFonts w:hint="eastAsia" w:ascii="黑体" w:hAnsi="黑体" w:eastAsia="黑体" w:cs="黑体"/>
          <w:b w:val="0"/>
          <w:bCs w:val="0"/>
          <w:snapToGrid w:val="0"/>
          <w:color w:val="auto"/>
          <w:kern w:val="0"/>
          <w:sz w:val="32"/>
          <w:szCs w:val="32"/>
          <w:highlight w:val="none"/>
          <w:lang w:val="en-US" w:eastAsia="zh-CN" w:bidi="ar-SA"/>
        </w:rPr>
      </w:pPr>
      <w:bookmarkStart w:id="74" w:name="heading_23"/>
      <w:bookmarkStart w:id="75" w:name="_Toc11773"/>
      <w:r>
        <w:rPr>
          <w:rFonts w:hint="eastAsia" w:ascii="黑体" w:hAnsi="黑体" w:eastAsia="黑体" w:cs="黑体"/>
          <w:b w:val="0"/>
          <w:bCs w:val="0"/>
          <w:snapToGrid w:val="0"/>
          <w:color w:val="auto"/>
          <w:kern w:val="0"/>
          <w:sz w:val="32"/>
          <w:szCs w:val="32"/>
          <w:highlight w:val="none"/>
          <w:lang w:val="en-US" w:eastAsia="zh-CN" w:bidi="ar-SA"/>
        </w:rPr>
        <w:t>（二）大庆市萨尔图区赵X货物运输服务部</w:t>
      </w:r>
      <w:bookmarkEnd w:id="74"/>
      <w:bookmarkEnd w:id="75"/>
    </w:p>
    <w:p w14:paraId="4E58C5C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1. 彻底改变“挂而不管”的粗放管理模式，建立健全挂靠车辆管理制度，明确对挂靠车辆及驾驶员的安全管理责任，将挂靠车辆纳入公司统一管理，杜绝挂靠车辆脱管、漏管。</w:t>
      </w:r>
    </w:p>
    <w:p w14:paraId="0A5559C9">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2. 开展驾驶员安全教育培训，组织所有挂靠车辆驾驶员开展安全生产法律法规、安全驾驶技能、车辆改装危害、超限超载危害等方面的培训，建立培训档案，提升驾驶员安全意识和守法意识，杜绝违法驾驶行为。</w:t>
      </w:r>
    </w:p>
    <w:p w14:paraId="7FA54EB1">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3. 落实车辆动态监控相关规定，配备专职监控人员，对所有挂靠车辆进行实时监控，及时发现和制止驾驶员超速、超宽装载、擅自改装车辆等违法违规行为，建立监控台账，对违法违规行为及时整改。</w:t>
      </w:r>
    </w:p>
    <w:p w14:paraId="173AC040">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4. 建立车辆安全排查机制，定期对挂靠车辆的结构、装载情况、机件安全状况进行全面检查，严禁擅自改变车辆登记结构、严禁超宽超载装载，对存在安全隐患的车辆责令立即整改，整改不合格不得上路行驶。</w:t>
      </w:r>
    </w:p>
    <w:p w14:paraId="0B3A4FF3">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5. 积极配合大庆市交通运输综合行政执法支队的“一超四罚”追责工作，严格落实相关处罚决定，主动开展自查自纠，及时整改存在的问题，提交整改报告及安全生产承诺书，接受监管部门的监督检查。</w:t>
      </w:r>
    </w:p>
    <w:p w14:paraId="0A6F19AF">
      <w:pPr>
        <w:keepNext w:val="0"/>
        <w:keepLines w:val="0"/>
        <w:pageBreakBefore w:val="0"/>
        <w:widowControl w:val="0"/>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napToGrid w:val="0"/>
          <w:color w:val="auto"/>
          <w:kern w:val="0"/>
          <w:sz w:val="32"/>
          <w:szCs w:val="32"/>
          <w:highlight w:val="none"/>
          <w:lang w:val="en-US" w:eastAsia="zh-CN" w:bidi="ar-SA"/>
        </w:rPr>
      </w:pPr>
      <w:r>
        <w:rPr>
          <w:rFonts w:hint="eastAsia" w:ascii="仿宋_GB2312" w:hAnsi="仿宋_GB2312" w:eastAsia="仿宋_GB2312" w:cs="仿宋_GB2312"/>
          <w:snapToGrid w:val="0"/>
          <w:color w:val="auto"/>
          <w:kern w:val="0"/>
          <w:sz w:val="32"/>
          <w:szCs w:val="32"/>
          <w:highlight w:val="none"/>
          <w:lang w:val="en-US" w:eastAsia="zh-CN" w:bidi="ar-SA"/>
        </w:rPr>
        <w:t>6. 加强对挂靠车辆所有人及驾驶员的管理，签订安全生产责任书，明确双方安全责任，定期开展安全警示教育，引导其自觉遵守道路交通安全和道路运输相关法律法规，防范安全事故发生。</w:t>
      </w:r>
    </w:p>
    <w:sectPr>
      <w:footerReference r:id="rId5" w:type="default"/>
      <w:pgSz w:w="11905" w:h="16840"/>
      <w:pgNumType w:fmt="decimal"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0000600000000000000"/>
    <w:charset w:val="86"/>
    <w:family w:val="script"/>
    <w:pitch w:val="default"/>
    <w:sig w:usb0="800002BF" w:usb1="184F6CF8" w:usb2="00000012" w:usb3="00000000" w:csb0="00160001" w:csb1="1203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CF4C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EBD3F">
    <w:r>
      <w:rPr>
        <w:sz w:val="21"/>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8683C">
                          <w:pPr>
                            <w:pStyle w:val="4"/>
                            <w:rPr>
                              <w:sz w:val="24"/>
                              <w:szCs w:val="36"/>
                            </w:rPr>
                          </w:pPr>
                          <w:r>
                            <w:rPr>
                              <w:sz w:val="24"/>
                              <w:szCs w:val="36"/>
                            </w:rPr>
                            <w:t xml:space="preserve">第 </w:t>
                          </w:r>
                          <w:r>
                            <w:rPr>
                              <w:sz w:val="24"/>
                              <w:szCs w:val="36"/>
                            </w:rPr>
                            <w:fldChar w:fldCharType="begin"/>
                          </w:r>
                          <w:r>
                            <w:rPr>
                              <w:sz w:val="24"/>
                              <w:szCs w:val="36"/>
                            </w:rPr>
                            <w:instrText xml:space="preserve"> PAGE  \* MERGEFORMAT </w:instrText>
                          </w:r>
                          <w:r>
                            <w:rPr>
                              <w:sz w:val="24"/>
                              <w:szCs w:val="36"/>
                            </w:rPr>
                            <w:fldChar w:fldCharType="separate"/>
                          </w:r>
                          <w:r>
                            <w:rPr>
                              <w:sz w:val="24"/>
                              <w:szCs w:val="36"/>
                            </w:rPr>
                            <w:t>- 1 -</w:t>
                          </w:r>
                          <w:r>
                            <w:rPr>
                              <w:sz w:val="24"/>
                              <w:szCs w:val="36"/>
                            </w:rPr>
                            <w:fldChar w:fldCharType="end"/>
                          </w:r>
                          <w:r>
                            <w:rPr>
                              <w:sz w:val="24"/>
                              <w:szCs w:val="36"/>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A98683C">
                    <w:pPr>
                      <w:pStyle w:val="4"/>
                      <w:rPr>
                        <w:sz w:val="24"/>
                        <w:szCs w:val="36"/>
                      </w:rPr>
                    </w:pPr>
                    <w:r>
                      <w:rPr>
                        <w:sz w:val="24"/>
                        <w:szCs w:val="36"/>
                      </w:rPr>
                      <w:t xml:space="preserve">第 </w:t>
                    </w:r>
                    <w:r>
                      <w:rPr>
                        <w:sz w:val="24"/>
                        <w:szCs w:val="36"/>
                      </w:rPr>
                      <w:fldChar w:fldCharType="begin"/>
                    </w:r>
                    <w:r>
                      <w:rPr>
                        <w:sz w:val="24"/>
                        <w:szCs w:val="36"/>
                      </w:rPr>
                      <w:instrText xml:space="preserve"> PAGE  \* MERGEFORMAT </w:instrText>
                    </w:r>
                    <w:r>
                      <w:rPr>
                        <w:sz w:val="24"/>
                        <w:szCs w:val="36"/>
                      </w:rPr>
                      <w:fldChar w:fldCharType="separate"/>
                    </w:r>
                    <w:r>
                      <w:rPr>
                        <w:sz w:val="24"/>
                        <w:szCs w:val="36"/>
                      </w:rPr>
                      <w:t>- 1 -</w:t>
                    </w:r>
                    <w:r>
                      <w:rPr>
                        <w:sz w:val="24"/>
                        <w:szCs w:val="36"/>
                      </w:rPr>
                      <w:fldChar w:fldCharType="end"/>
                    </w:r>
                    <w:r>
                      <w:rPr>
                        <w:sz w:val="24"/>
                        <w:szCs w:val="36"/>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653FB"/>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23C6D"/>
    <w:rsid w:val="013E64E3"/>
    <w:rsid w:val="017B5688"/>
    <w:rsid w:val="01C761D7"/>
    <w:rsid w:val="01D5594B"/>
    <w:rsid w:val="01DA33CE"/>
    <w:rsid w:val="026003DA"/>
    <w:rsid w:val="033825F1"/>
    <w:rsid w:val="0350044F"/>
    <w:rsid w:val="03735A1B"/>
    <w:rsid w:val="03EE0393"/>
    <w:rsid w:val="04536448"/>
    <w:rsid w:val="04630273"/>
    <w:rsid w:val="04710227"/>
    <w:rsid w:val="04CD60A3"/>
    <w:rsid w:val="05681A7F"/>
    <w:rsid w:val="05DC6014"/>
    <w:rsid w:val="063D2F0C"/>
    <w:rsid w:val="068055AE"/>
    <w:rsid w:val="06B86A37"/>
    <w:rsid w:val="07591FC8"/>
    <w:rsid w:val="07A64A5A"/>
    <w:rsid w:val="07D8409B"/>
    <w:rsid w:val="0825362B"/>
    <w:rsid w:val="083D5445"/>
    <w:rsid w:val="08A13EC8"/>
    <w:rsid w:val="08BD0334"/>
    <w:rsid w:val="08C4519E"/>
    <w:rsid w:val="09174B9D"/>
    <w:rsid w:val="092108C3"/>
    <w:rsid w:val="09313B01"/>
    <w:rsid w:val="0A4A3E4A"/>
    <w:rsid w:val="0A4E3C28"/>
    <w:rsid w:val="0A551B0A"/>
    <w:rsid w:val="0B4D29E1"/>
    <w:rsid w:val="0B7E5B12"/>
    <w:rsid w:val="0C15447D"/>
    <w:rsid w:val="0C6F2E35"/>
    <w:rsid w:val="0D6D7D1C"/>
    <w:rsid w:val="0DAD12A1"/>
    <w:rsid w:val="0E0E518E"/>
    <w:rsid w:val="0E792F4F"/>
    <w:rsid w:val="0F052A35"/>
    <w:rsid w:val="0FD7617F"/>
    <w:rsid w:val="0FE4089C"/>
    <w:rsid w:val="0FE84366"/>
    <w:rsid w:val="106B4B1A"/>
    <w:rsid w:val="10F427A2"/>
    <w:rsid w:val="11274EE5"/>
    <w:rsid w:val="12696E37"/>
    <w:rsid w:val="12BE0C9F"/>
    <w:rsid w:val="135E44C2"/>
    <w:rsid w:val="13BF4C25"/>
    <w:rsid w:val="13CB7DA9"/>
    <w:rsid w:val="13F37300"/>
    <w:rsid w:val="150A4A50"/>
    <w:rsid w:val="15167666"/>
    <w:rsid w:val="15BD7BC5"/>
    <w:rsid w:val="15DC57E3"/>
    <w:rsid w:val="15DC7042"/>
    <w:rsid w:val="161517B0"/>
    <w:rsid w:val="16AD113E"/>
    <w:rsid w:val="16C5565A"/>
    <w:rsid w:val="16F75359"/>
    <w:rsid w:val="171657DF"/>
    <w:rsid w:val="180E295A"/>
    <w:rsid w:val="18433072"/>
    <w:rsid w:val="18B660FA"/>
    <w:rsid w:val="18C675AF"/>
    <w:rsid w:val="19A215B9"/>
    <w:rsid w:val="1A693E78"/>
    <w:rsid w:val="1A7E5F28"/>
    <w:rsid w:val="1B1F6C2C"/>
    <w:rsid w:val="1C1A30E3"/>
    <w:rsid w:val="1D507571"/>
    <w:rsid w:val="1E6A4663"/>
    <w:rsid w:val="1EF202D5"/>
    <w:rsid w:val="1FCA360B"/>
    <w:rsid w:val="1FF266BE"/>
    <w:rsid w:val="20401B1F"/>
    <w:rsid w:val="205149BC"/>
    <w:rsid w:val="207F0E8C"/>
    <w:rsid w:val="20F052F3"/>
    <w:rsid w:val="210E7527"/>
    <w:rsid w:val="226F3FF6"/>
    <w:rsid w:val="233D0F56"/>
    <w:rsid w:val="234C4337"/>
    <w:rsid w:val="2364701A"/>
    <w:rsid w:val="24E94533"/>
    <w:rsid w:val="252B0E5B"/>
    <w:rsid w:val="259A6107"/>
    <w:rsid w:val="263C4B36"/>
    <w:rsid w:val="26521602"/>
    <w:rsid w:val="27005B64"/>
    <w:rsid w:val="28461C9C"/>
    <w:rsid w:val="29310D14"/>
    <w:rsid w:val="297A7E50"/>
    <w:rsid w:val="29E30F03"/>
    <w:rsid w:val="2A043112"/>
    <w:rsid w:val="2A201482"/>
    <w:rsid w:val="2A8D3BB3"/>
    <w:rsid w:val="2AA1765E"/>
    <w:rsid w:val="2AE8528D"/>
    <w:rsid w:val="2BE27F2E"/>
    <w:rsid w:val="2E2E2FB7"/>
    <w:rsid w:val="2E76495E"/>
    <w:rsid w:val="2EED2E72"/>
    <w:rsid w:val="2F032EDA"/>
    <w:rsid w:val="2F1F6DA3"/>
    <w:rsid w:val="2F740E9D"/>
    <w:rsid w:val="2FA23C5C"/>
    <w:rsid w:val="31326871"/>
    <w:rsid w:val="317247B1"/>
    <w:rsid w:val="318E52A5"/>
    <w:rsid w:val="319E66A5"/>
    <w:rsid w:val="326F675E"/>
    <w:rsid w:val="32DE77E2"/>
    <w:rsid w:val="33027346"/>
    <w:rsid w:val="33425164"/>
    <w:rsid w:val="33847995"/>
    <w:rsid w:val="33D21752"/>
    <w:rsid w:val="33D77C4D"/>
    <w:rsid w:val="34DF500B"/>
    <w:rsid w:val="35A10512"/>
    <w:rsid w:val="36331F6A"/>
    <w:rsid w:val="36461FA8"/>
    <w:rsid w:val="37AB5678"/>
    <w:rsid w:val="37FA03AE"/>
    <w:rsid w:val="38C154C4"/>
    <w:rsid w:val="38D80D8E"/>
    <w:rsid w:val="393F507A"/>
    <w:rsid w:val="3A036CB2"/>
    <w:rsid w:val="3A200669"/>
    <w:rsid w:val="3A2D4A6A"/>
    <w:rsid w:val="3A443341"/>
    <w:rsid w:val="3A4848AA"/>
    <w:rsid w:val="3AB44E46"/>
    <w:rsid w:val="3AD73496"/>
    <w:rsid w:val="3B984165"/>
    <w:rsid w:val="3BA92F75"/>
    <w:rsid w:val="3BC27434"/>
    <w:rsid w:val="3BF23A1E"/>
    <w:rsid w:val="3CE970C6"/>
    <w:rsid w:val="3D515573"/>
    <w:rsid w:val="3E3363C7"/>
    <w:rsid w:val="3EBE677E"/>
    <w:rsid w:val="3F2B1F3F"/>
    <w:rsid w:val="3F8B6831"/>
    <w:rsid w:val="3FDA7CFB"/>
    <w:rsid w:val="407F58F4"/>
    <w:rsid w:val="408757A2"/>
    <w:rsid w:val="413935E8"/>
    <w:rsid w:val="416C40CA"/>
    <w:rsid w:val="418672E0"/>
    <w:rsid w:val="41DB1250"/>
    <w:rsid w:val="41E400D6"/>
    <w:rsid w:val="42BA186A"/>
    <w:rsid w:val="42DE0BE4"/>
    <w:rsid w:val="42E303BC"/>
    <w:rsid w:val="43FD3CA5"/>
    <w:rsid w:val="44EE3048"/>
    <w:rsid w:val="46222FA9"/>
    <w:rsid w:val="46D06EA9"/>
    <w:rsid w:val="46D1677D"/>
    <w:rsid w:val="47370CD6"/>
    <w:rsid w:val="47E726FC"/>
    <w:rsid w:val="48E21116"/>
    <w:rsid w:val="4953791E"/>
    <w:rsid w:val="497E0E3E"/>
    <w:rsid w:val="49E86A9E"/>
    <w:rsid w:val="4AFE5EB8"/>
    <w:rsid w:val="4B5856BF"/>
    <w:rsid w:val="4B7C7600"/>
    <w:rsid w:val="4BD35688"/>
    <w:rsid w:val="4C2E0C29"/>
    <w:rsid w:val="4C3B4DC5"/>
    <w:rsid w:val="4D3B4BAE"/>
    <w:rsid w:val="4DB539A8"/>
    <w:rsid w:val="4DDB5F4B"/>
    <w:rsid w:val="4F5543EF"/>
    <w:rsid w:val="4F80292C"/>
    <w:rsid w:val="4F936CC6"/>
    <w:rsid w:val="4FFF2D78"/>
    <w:rsid w:val="506F0B35"/>
    <w:rsid w:val="50FD4D3F"/>
    <w:rsid w:val="51A2349D"/>
    <w:rsid w:val="51B20F46"/>
    <w:rsid w:val="5201260D"/>
    <w:rsid w:val="52D93E52"/>
    <w:rsid w:val="53B46948"/>
    <w:rsid w:val="54575C27"/>
    <w:rsid w:val="54905ECA"/>
    <w:rsid w:val="54E82F69"/>
    <w:rsid w:val="552B4F4A"/>
    <w:rsid w:val="557618F8"/>
    <w:rsid w:val="55784B0E"/>
    <w:rsid w:val="557D01FC"/>
    <w:rsid w:val="56002BDB"/>
    <w:rsid w:val="56004989"/>
    <w:rsid w:val="56446F6C"/>
    <w:rsid w:val="5664316A"/>
    <w:rsid w:val="577865C9"/>
    <w:rsid w:val="57D367F9"/>
    <w:rsid w:val="58DF6617"/>
    <w:rsid w:val="598F04FE"/>
    <w:rsid w:val="59C75EEA"/>
    <w:rsid w:val="5A503C2B"/>
    <w:rsid w:val="5A81078E"/>
    <w:rsid w:val="5A826F5A"/>
    <w:rsid w:val="5B1F0687"/>
    <w:rsid w:val="5B57504B"/>
    <w:rsid w:val="5CD03307"/>
    <w:rsid w:val="5D3D64C3"/>
    <w:rsid w:val="5D632BB6"/>
    <w:rsid w:val="5D92680F"/>
    <w:rsid w:val="5DC10EA2"/>
    <w:rsid w:val="5E111E29"/>
    <w:rsid w:val="5E5F56F4"/>
    <w:rsid w:val="5EB00FB3"/>
    <w:rsid w:val="5ECB24E6"/>
    <w:rsid w:val="5ED27171"/>
    <w:rsid w:val="5EE66E12"/>
    <w:rsid w:val="5F0D0843"/>
    <w:rsid w:val="5F8E2319"/>
    <w:rsid w:val="5FEB2206"/>
    <w:rsid w:val="609A4358"/>
    <w:rsid w:val="609F0BAD"/>
    <w:rsid w:val="61706E67"/>
    <w:rsid w:val="618D0D41"/>
    <w:rsid w:val="61C55405"/>
    <w:rsid w:val="62165C60"/>
    <w:rsid w:val="62933E92"/>
    <w:rsid w:val="62D358FF"/>
    <w:rsid w:val="635B58F5"/>
    <w:rsid w:val="64045BC8"/>
    <w:rsid w:val="647B624F"/>
    <w:rsid w:val="649B244D"/>
    <w:rsid w:val="65A13A93"/>
    <w:rsid w:val="65CA3038"/>
    <w:rsid w:val="66342B59"/>
    <w:rsid w:val="6663343E"/>
    <w:rsid w:val="673E3563"/>
    <w:rsid w:val="674A015A"/>
    <w:rsid w:val="68E72104"/>
    <w:rsid w:val="695A0B28"/>
    <w:rsid w:val="69D36863"/>
    <w:rsid w:val="6A694D9B"/>
    <w:rsid w:val="6A985AC5"/>
    <w:rsid w:val="6ABD3854"/>
    <w:rsid w:val="6BA24B49"/>
    <w:rsid w:val="6C2C6080"/>
    <w:rsid w:val="6C360B5D"/>
    <w:rsid w:val="6CA9401A"/>
    <w:rsid w:val="6DB14A8F"/>
    <w:rsid w:val="6F9E54E7"/>
    <w:rsid w:val="6FBE16E5"/>
    <w:rsid w:val="6FD131C7"/>
    <w:rsid w:val="70B07280"/>
    <w:rsid w:val="70E33764"/>
    <w:rsid w:val="71657CB9"/>
    <w:rsid w:val="71685DAD"/>
    <w:rsid w:val="719E357C"/>
    <w:rsid w:val="71ED453D"/>
    <w:rsid w:val="72442376"/>
    <w:rsid w:val="72A9667D"/>
    <w:rsid w:val="7327134F"/>
    <w:rsid w:val="73832A2A"/>
    <w:rsid w:val="738A5D63"/>
    <w:rsid w:val="73EB089B"/>
    <w:rsid w:val="73FC458A"/>
    <w:rsid w:val="74956EB9"/>
    <w:rsid w:val="755C1784"/>
    <w:rsid w:val="757840E4"/>
    <w:rsid w:val="75862CA5"/>
    <w:rsid w:val="76A70496"/>
    <w:rsid w:val="76B4739E"/>
    <w:rsid w:val="76C021E7"/>
    <w:rsid w:val="76D2382B"/>
    <w:rsid w:val="76FF2164"/>
    <w:rsid w:val="77A039DB"/>
    <w:rsid w:val="785C1A9B"/>
    <w:rsid w:val="786C7ECE"/>
    <w:rsid w:val="7AB67B89"/>
    <w:rsid w:val="7B007056"/>
    <w:rsid w:val="7B701235"/>
    <w:rsid w:val="7BB763C6"/>
    <w:rsid w:val="7BDF0A19"/>
    <w:rsid w:val="7C444D20"/>
    <w:rsid w:val="7C877FCA"/>
    <w:rsid w:val="7D124C9D"/>
    <w:rsid w:val="7D5B69E9"/>
    <w:rsid w:val="7D670DF9"/>
    <w:rsid w:val="7DAC0C9E"/>
    <w:rsid w:val="7DAC7021"/>
    <w:rsid w:val="7E857F9E"/>
    <w:rsid w:val="7F0206C8"/>
    <w:rsid w:val="7F8C1A23"/>
    <w:rsid w:val="BE7FB7C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1"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1"/>
    <w:pPr>
      <w:ind w:firstLine="420" w:firstLineChars="200"/>
    </w:pPr>
    <w:rPr>
      <w:rFonts w:eastAsia="仿宋"/>
      <w:sz w:val="32"/>
    </w:rPr>
  </w:style>
  <w:style w:type="paragraph" w:styleId="3">
    <w:name w:val="Body Text Indent"/>
    <w:basedOn w:val="1"/>
    <w:next w:val="2"/>
    <w:qFormat/>
    <w:uiPriority w:val="0"/>
    <w:pPr>
      <w:spacing w:after="120"/>
      <w:ind w:left="42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Body Text First Indent 2"/>
    <w:basedOn w:val="3"/>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22</Pages>
  <Words>8329</Words>
  <Characters>8963</Characters>
  <TotalTime>3</TotalTime>
  <ScaleCrop>false</ScaleCrop>
  <LinksUpToDate>false</LinksUpToDate>
  <CharactersWithSpaces>9109</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2026-05-19T16:36:00Z</dcterms:created>
  <dc:creator>Apache POI</dc:creator>
  <cp:lastModifiedBy>Administrator</cp:lastModifiedBy>
  <cp:lastPrinted>2026-06-16T06:51:00Z</cp:lastPrinted>
  <dcterms:modified xsi:type="dcterms:W3CDTF">2026-07-15T01:20:46Z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2428DFA862254767A7C3E680ED6C9632_13</vt:lpwstr>
  </property>
  <property fmtid="{D5CDD505-2E9C-101B-9397-08002B2CF9AE}" pid="4" name="KSOTemplateDocerSaveRecord">
    <vt:lpwstr>eyJoZGlkIjoiODZhYTUyMWYzNzk5NTQ2ZTNkOTIzZTUzMWVhNTM0OGMifQ==</vt:lpwstr>
  </property>
</Properties>
</file>